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82"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641"/>
        <w:gridCol w:w="4641"/>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c>
          <w:tcPr>
            <w:tcW w:w="46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vertAlign w:val="baseline"/>
                <w:lang w:val="en-US"/>
              </w:rPr>
            </w:pPr>
            <w:r>
              <w:rPr>
                <w:rFonts w:hint="default" w:ascii="Times New Roman" w:hAnsi="Times New Roman" w:cs="Times New Roman"/>
              </w:rPr>
              <w:t>协议版本号：</w:t>
            </w:r>
            <w:r>
              <w:rPr>
                <w:rFonts w:hint="eastAsia" w:ascii="Times New Roman" w:hAnsi="Times New Roman" w:cs="Times New Roman"/>
              </w:rPr>
              <w:t>HLB（20</w:t>
            </w:r>
            <w:r>
              <w:rPr>
                <w:rFonts w:hint="default" w:ascii="Times New Roman" w:hAnsi="Times New Roman" w:cs="Times New Roman"/>
              </w:rPr>
              <w:t>2</w:t>
            </w:r>
            <w:r>
              <w:rPr>
                <w:rFonts w:hint="eastAsia" w:ascii="Times New Roman" w:hAnsi="Times New Roman" w:cs="Times New Roman"/>
              </w:rPr>
              <w:t>1）V</w:t>
            </w:r>
            <w:r>
              <w:rPr>
                <w:rFonts w:hint="default" w:ascii="Times New Roman" w:hAnsi="Times New Roman" w:cs="Times New Roman"/>
              </w:rPr>
              <w:t>2</w:t>
            </w:r>
            <w:r>
              <w:rPr>
                <w:rFonts w:hint="eastAsia" w:ascii="Times New Roman" w:hAnsi="Times New Roman" w:cs="Times New Roman"/>
              </w:rPr>
              <w:t xml:space="preserve">.2  </w:t>
            </w:r>
            <w:r>
              <w:rPr>
                <w:rFonts w:hint="eastAsia" w:ascii="宋体" w:hAnsi="宋体" w:eastAsia="宋体" w:cs="宋体"/>
                <w:b/>
                <w:bCs/>
                <w:szCs w:val="21"/>
              </w:rPr>
              <w:t xml:space="preserve">  </w:t>
            </w:r>
          </w:p>
        </w:tc>
        <w:tc>
          <w:tcPr>
            <w:tcW w:w="46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vertAlign w:val="baseline"/>
              </w:rPr>
            </w:pPr>
            <w:r>
              <w:rPr>
                <w:rFonts w:hint="default" w:ascii="Times New Roman" w:hAnsi="Times New Roman" w:cs="Times New Roman"/>
              </w:rPr>
              <w:t>协议编号：</w:t>
            </w:r>
          </w:p>
        </w:tc>
      </w:tr>
    </w:tbl>
    <w:p>
      <w:pPr>
        <w:spacing w:line="360" w:lineRule="auto"/>
        <w:ind w:right="960"/>
        <w:jc w:val="both"/>
        <w:rPr>
          <w:rFonts w:hint="eastAsia" w:ascii="宋体" w:hAnsi="宋体" w:cs="宋体"/>
          <w:b/>
          <w:sz w:val="32"/>
          <w:szCs w:val="32"/>
        </w:rPr>
      </w:pPr>
    </w:p>
    <w:p>
      <w:pPr>
        <w:spacing w:line="360" w:lineRule="auto"/>
        <w:ind w:right="960"/>
        <w:jc w:val="center"/>
        <w:rPr>
          <w:rFonts w:ascii="宋体" w:hAnsi="宋体" w:cs="宋体"/>
          <w:sz w:val="44"/>
          <w:szCs w:val="44"/>
        </w:rPr>
      </w:pPr>
      <w:r>
        <w:rPr>
          <w:rFonts w:hint="eastAsia" w:ascii="宋体" w:hAnsi="宋体" w:cs="宋体"/>
          <w:b/>
          <w:sz w:val="44"/>
          <w:szCs w:val="44"/>
        </w:rPr>
        <w:t>支付服务协议</w:t>
      </w:r>
    </w:p>
    <w:p>
      <w:pPr>
        <w:spacing w:line="360" w:lineRule="auto"/>
        <w:ind w:left="420" w:leftChars="200"/>
        <w:rPr>
          <w:rFonts w:ascii="黑体" w:hAnsi="黑体" w:eastAsia="黑体"/>
          <w:sz w:val="24"/>
        </w:rPr>
      </w:pPr>
      <w:r>
        <w:rPr>
          <w:rFonts w:hint="eastAsia" w:ascii="黑体" w:hAnsi="黑体" w:eastAsia="黑体"/>
          <w:sz w:val="32"/>
          <w:szCs w:val="32"/>
        </w:rPr>
        <w:t xml:space="preserve">                                                  </w:t>
      </w:r>
    </w:p>
    <w:p>
      <w:pPr>
        <w:spacing w:line="360" w:lineRule="auto"/>
        <w:ind w:left="420" w:leftChars="200" w:firstLine="482" w:firstLineChars="200"/>
        <w:rPr>
          <w:rFonts w:ascii="宋体" w:hAnsi="宋体" w:cs="宋体"/>
          <w:b/>
          <w:bCs/>
          <w:sz w:val="24"/>
        </w:rPr>
      </w:pPr>
      <w:r>
        <w:rPr>
          <w:rFonts w:hint="eastAsia" w:ascii="宋体" w:hAnsi="宋体" w:cs="宋体"/>
          <w:b/>
          <w:bCs/>
          <w:sz w:val="24"/>
        </w:rPr>
        <w:t>甲方：</w:t>
      </w:r>
    </w:p>
    <w:p>
      <w:pPr>
        <w:spacing w:line="360" w:lineRule="auto"/>
        <w:ind w:left="420" w:leftChars="200" w:firstLine="482" w:firstLineChars="200"/>
        <w:rPr>
          <w:rFonts w:ascii="宋体" w:hAnsi="宋体" w:cs="宋体"/>
          <w:b/>
          <w:bCs/>
          <w:sz w:val="24"/>
        </w:rPr>
      </w:pPr>
      <w:r>
        <w:rPr>
          <w:rFonts w:ascii="宋体" w:hAnsi="宋体" w:cs="宋体"/>
          <w:b/>
          <w:bCs/>
          <w:sz w:val="24"/>
        </w:rPr>
        <w:t>法定代表人</w:t>
      </w:r>
      <w:r>
        <w:rPr>
          <w:rFonts w:hint="eastAsia" w:ascii="宋体" w:hAnsi="宋体" w:cs="宋体"/>
          <w:b/>
          <w:bCs/>
          <w:sz w:val="24"/>
        </w:rPr>
        <w:t>：</w:t>
      </w:r>
    </w:p>
    <w:p>
      <w:pPr>
        <w:tabs>
          <w:tab w:val="left" w:pos="3795"/>
        </w:tabs>
        <w:spacing w:line="360" w:lineRule="auto"/>
        <w:ind w:left="420" w:leftChars="200" w:firstLine="482" w:firstLineChars="200"/>
        <w:rPr>
          <w:rFonts w:ascii="宋体" w:hAnsi="宋体" w:cs="宋体"/>
          <w:b/>
          <w:bCs/>
          <w:sz w:val="24"/>
        </w:rPr>
      </w:pPr>
      <w:r>
        <w:rPr>
          <w:rFonts w:hint="eastAsia" w:ascii="宋体" w:hAnsi="宋体" w:cs="宋体"/>
          <w:b/>
          <w:bCs/>
          <w:sz w:val="24"/>
        </w:rPr>
        <w:t>住址：</w:t>
      </w:r>
    </w:p>
    <w:p>
      <w:pPr>
        <w:tabs>
          <w:tab w:val="left" w:pos="3795"/>
        </w:tabs>
        <w:spacing w:line="360" w:lineRule="auto"/>
        <w:ind w:left="420" w:leftChars="200" w:firstLine="482" w:firstLineChars="200"/>
        <w:rPr>
          <w:rFonts w:ascii="宋体" w:hAnsi="宋体" w:cs="宋体"/>
          <w:b/>
          <w:bCs/>
          <w:sz w:val="24"/>
        </w:rPr>
      </w:pPr>
      <w:r>
        <w:rPr>
          <w:rFonts w:hint="eastAsia" w:ascii="宋体" w:hAnsi="宋体" w:cs="宋体"/>
          <w:b/>
          <w:bCs/>
          <w:sz w:val="24"/>
        </w:rPr>
        <w:tab/>
      </w:r>
    </w:p>
    <w:p>
      <w:pPr>
        <w:spacing w:line="360" w:lineRule="auto"/>
        <w:ind w:left="420" w:leftChars="200" w:firstLine="482" w:firstLineChars="200"/>
        <w:rPr>
          <w:rFonts w:ascii="宋体" w:hAnsi="宋体" w:cs="宋体"/>
          <w:b/>
          <w:bCs/>
          <w:sz w:val="24"/>
        </w:rPr>
      </w:pPr>
      <w:r>
        <w:rPr>
          <w:rFonts w:hint="eastAsia" w:ascii="宋体" w:hAnsi="宋体" w:cs="宋体"/>
          <w:b/>
          <w:bCs/>
          <w:sz w:val="24"/>
        </w:rPr>
        <w:t xml:space="preserve">乙方：广州合利宝支付科技有限公司   </w:t>
      </w:r>
    </w:p>
    <w:p>
      <w:pPr>
        <w:spacing w:line="360" w:lineRule="auto"/>
        <w:ind w:left="420" w:leftChars="200" w:firstLine="482" w:firstLineChars="200"/>
        <w:rPr>
          <w:rFonts w:ascii="宋体" w:hAnsi="宋体" w:cs="宋体"/>
          <w:b/>
          <w:bCs/>
          <w:sz w:val="24"/>
        </w:rPr>
      </w:pPr>
      <w:r>
        <w:rPr>
          <w:rFonts w:ascii="宋体" w:hAnsi="宋体" w:cs="宋体"/>
          <w:b/>
          <w:bCs/>
          <w:sz w:val="24"/>
        </w:rPr>
        <w:t>法定代表人</w:t>
      </w:r>
      <w:r>
        <w:rPr>
          <w:rFonts w:hint="eastAsia" w:ascii="宋体" w:hAnsi="宋体" w:cs="宋体"/>
          <w:b/>
          <w:bCs/>
          <w:sz w:val="24"/>
        </w:rPr>
        <w:t>：王石山</w:t>
      </w:r>
    </w:p>
    <w:p>
      <w:pPr>
        <w:spacing w:line="360" w:lineRule="auto"/>
        <w:ind w:left="420" w:leftChars="200" w:firstLine="482" w:firstLineChars="200"/>
        <w:rPr>
          <w:rFonts w:hint="eastAsia" w:ascii="宋体" w:hAnsi="宋体" w:cs="宋体"/>
          <w:b/>
          <w:bCs/>
          <w:sz w:val="24"/>
        </w:rPr>
      </w:pPr>
      <w:r>
        <w:rPr>
          <w:rFonts w:hint="eastAsia" w:ascii="宋体" w:hAnsi="宋体" w:cs="宋体"/>
          <w:b/>
          <w:bCs/>
          <w:sz w:val="24"/>
        </w:rPr>
        <w:t>住址：广州市天河区珠江东路28号越秀金融大厦40层</w:t>
      </w:r>
    </w:p>
    <w:p>
      <w:pPr>
        <w:spacing w:line="360" w:lineRule="auto"/>
        <w:rPr>
          <w:rFonts w:ascii="宋体" w:hAnsi="宋体" w:cs="宋体"/>
          <w:b/>
          <w:bCs/>
          <w:sz w:val="24"/>
        </w:rPr>
      </w:pPr>
    </w:p>
    <w:p>
      <w:pPr>
        <w:spacing w:line="360" w:lineRule="auto"/>
        <w:ind w:firstLine="420" w:firstLineChars="200"/>
        <w:rPr>
          <w:rFonts w:ascii="宋体" w:hAnsi="宋体" w:cs="宋体"/>
          <w:szCs w:val="21"/>
        </w:rPr>
      </w:pPr>
      <w:r>
        <w:rPr>
          <w:rFonts w:hint="eastAsia" w:ascii="宋体" w:hAnsi="宋体" w:cs="宋体"/>
          <w:szCs w:val="21"/>
        </w:rPr>
        <w:t>甲、乙双方经友好协商，在平等互利的基础上，依照《中华人民共和国民法典》等有关法律法规，就乙方为甲方及其客户提供支付服务事宜达成如下合作协议：</w:t>
      </w:r>
    </w:p>
    <w:p>
      <w:pPr>
        <w:spacing w:line="360" w:lineRule="auto"/>
        <w:ind w:left="947" w:leftChars="451" w:firstLine="420"/>
        <w:rPr>
          <w:rFonts w:ascii="宋体" w:hAnsi="宋体" w:cs="宋体"/>
          <w:szCs w:val="21"/>
        </w:rPr>
      </w:pPr>
    </w:p>
    <w:p>
      <w:pPr>
        <w:numPr>
          <w:numId w:val="0"/>
        </w:numPr>
        <w:spacing w:line="360" w:lineRule="auto"/>
        <w:ind w:firstLine="422" w:firstLineChars="200"/>
        <w:rPr>
          <w:rFonts w:hint="eastAsia" w:ascii="宋体" w:hAnsi="宋体" w:eastAsia="宋体" w:cs="宋体"/>
          <w:b/>
          <w:bCs/>
          <w:szCs w:val="21"/>
        </w:rPr>
      </w:pPr>
      <w:r>
        <w:rPr>
          <w:rFonts w:hint="eastAsia" w:ascii="宋体" w:hAnsi="宋体" w:cs="宋体"/>
          <w:b/>
          <w:bCs/>
          <w:szCs w:val="21"/>
          <w:lang w:val="en-US" w:eastAsia="zh-CN"/>
        </w:rPr>
        <w:t>1、</w:t>
      </w:r>
      <w:r>
        <w:rPr>
          <w:rFonts w:hint="eastAsia" w:ascii="宋体" w:hAnsi="宋体" w:eastAsia="宋体" w:cs="宋体"/>
          <w:b/>
          <w:bCs/>
          <w:szCs w:val="21"/>
        </w:rPr>
        <w:t>定义</w:t>
      </w:r>
    </w:p>
    <w:p>
      <w:pPr>
        <w:spacing w:line="360" w:lineRule="auto"/>
        <w:ind w:firstLine="420" w:firstLineChars="200"/>
        <w:rPr>
          <w:rFonts w:ascii="宋体" w:hAnsi="宋体" w:cs="宋体"/>
          <w:szCs w:val="21"/>
        </w:rPr>
      </w:pPr>
      <w:r>
        <w:rPr>
          <w:rFonts w:hint="eastAsia" w:ascii="宋体" w:hAnsi="宋体" w:cs="宋体"/>
          <w:szCs w:val="21"/>
        </w:rPr>
        <w:t>1.1银行卡收单服务：指乙方为甲方提供银行卡交易处理及资金结算等支付服务，获取手续费收入的业务。</w:t>
      </w:r>
    </w:p>
    <w:p>
      <w:pPr>
        <w:spacing w:line="360" w:lineRule="auto"/>
        <w:ind w:firstLine="420" w:firstLineChars="200"/>
        <w:rPr>
          <w:rFonts w:ascii="宋体" w:hAnsi="宋体" w:cs="宋体"/>
          <w:szCs w:val="21"/>
        </w:rPr>
      </w:pPr>
      <w:r>
        <w:rPr>
          <w:rFonts w:hint="eastAsia" w:ascii="宋体" w:hAnsi="宋体" w:cs="宋体"/>
          <w:szCs w:val="21"/>
        </w:rPr>
        <w:t>1.2受理终端：指通过银行卡信息的读取、采集或录入生成交易指令的各类实体支付机具。</w:t>
      </w:r>
    </w:p>
    <w:p>
      <w:pPr>
        <w:spacing w:line="360" w:lineRule="auto"/>
        <w:ind w:left="1050" w:leftChars="200" w:hanging="630" w:hangingChars="300"/>
        <w:rPr>
          <w:rFonts w:ascii="宋体" w:hAnsi="宋体" w:cs="宋体"/>
          <w:szCs w:val="21"/>
        </w:rPr>
      </w:pPr>
      <w:r>
        <w:rPr>
          <w:rFonts w:hint="eastAsia" w:ascii="宋体" w:hAnsi="宋体" w:cs="宋体"/>
          <w:szCs w:val="21"/>
        </w:rPr>
        <w:t>1.3乙方提供的扫码支付服务包括：当用户购买甲方的商品或服务时，可通过扫码支付方式完成交易。扫码支付的具体运用包括但不限于以下三种场景：</w:t>
      </w:r>
    </w:p>
    <w:p>
      <w:pPr>
        <w:spacing w:line="360" w:lineRule="auto"/>
        <w:ind w:left="1260" w:leftChars="200" w:hanging="840" w:hangingChars="400"/>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.1主扫支付：指甲方在WAP或PC端展示商品和信息，甲方客户用扫码支付客户端扫描甲方提供的动态二维码发起支付指令；</w:t>
      </w:r>
    </w:p>
    <w:p>
      <w:pPr>
        <w:spacing w:line="360" w:lineRule="auto"/>
        <w:ind w:left="1260" w:leftChars="200" w:hanging="840" w:hangingChars="400"/>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.2被扫支付：指甲方客户出示扫码客户端中的二维码（条码），甲方用特定装备扫描该二维码（条码）后发起支付指令；</w:t>
      </w:r>
    </w:p>
    <w:p>
      <w:pPr>
        <w:spacing w:line="360" w:lineRule="auto"/>
        <w:ind w:left="1260" w:leftChars="200" w:hanging="840" w:hangingChars="400"/>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.3固定二维码支付：指甲方将固定二维码展示于不同的场景，甲方客户/持卡人通过扫描该等固定二维码发起支付指令。</w:t>
      </w:r>
    </w:p>
    <w:p>
      <w:pPr>
        <w:spacing w:line="360" w:lineRule="auto"/>
        <w:ind w:firstLine="422" w:firstLineChars="200"/>
        <w:rPr>
          <w:b/>
          <w:bCs/>
        </w:rPr>
      </w:pPr>
      <w:r>
        <w:rPr>
          <w:rFonts w:hint="eastAsia" w:asciiTheme="majorEastAsia" w:hAnsiTheme="majorEastAsia" w:eastAsiaTheme="majorEastAsia" w:cstheme="majorEastAsia"/>
          <w:b/>
          <w:bCs/>
        </w:rPr>
        <w:t>2、</w:t>
      </w:r>
      <w:r>
        <w:rPr>
          <w:rFonts w:hint="eastAsia"/>
          <w:b/>
          <w:bCs/>
        </w:rPr>
        <w:t>服务内容</w:t>
      </w:r>
    </w:p>
    <w:p>
      <w:pPr>
        <w:spacing w:line="360" w:lineRule="auto"/>
        <w:ind w:firstLine="420" w:firstLineChars="200"/>
      </w:pPr>
      <w:r>
        <w:rPr>
          <w:rFonts w:hint="eastAsia" w:ascii="宋体" w:hAnsi="宋体" w:eastAsia="宋体" w:cs="宋体"/>
        </w:rPr>
        <w:t>2.1乙</w:t>
      </w:r>
      <w:r>
        <w:rPr>
          <w:rFonts w:hint="eastAsia"/>
        </w:rPr>
        <w:t>方根据本协议约定为甲方提供银行卡收单及扫码支付服务。具体提供服务内容、交易手续费用的标准按甲方在办理入网时或通过乙方的合作服务商拓展办理入网时选择开通的服务项目对应的费率标准执行。</w:t>
      </w:r>
    </w:p>
    <w:p>
      <w:pPr>
        <w:spacing w:line="360" w:lineRule="auto"/>
        <w:ind w:left="360"/>
        <w:jc w:val="left"/>
      </w:pPr>
      <w:r>
        <w:rPr>
          <w:rFonts w:hint="eastAsia" w:ascii="宋体" w:hAnsi="宋体" w:eastAsia="宋体" w:cs="宋体"/>
        </w:rPr>
        <w:t>2.1.1传统POS</w:t>
      </w:r>
      <w:r>
        <w:rPr>
          <w:rFonts w:hint="eastAsia"/>
        </w:rPr>
        <w:t>服务资费标准：</w:t>
      </w:r>
    </w:p>
    <w:tbl>
      <w:tblPr>
        <w:tblStyle w:val="5"/>
        <w:tblpPr w:leftFromText="180" w:rightFromText="180" w:vertAnchor="text" w:horzAnchor="margin" w:tblpXSpec="center" w:tblpY="151"/>
        <w:tblW w:w="1031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Layout w:type="fixed"/>
        <w:tblCellMar>
          <w:top w:w="0" w:type="dxa"/>
          <w:left w:w="108" w:type="dxa"/>
          <w:bottom w:w="0" w:type="dxa"/>
          <w:right w:w="108" w:type="dxa"/>
        </w:tblCellMar>
      </w:tblPr>
      <w:tblGrid>
        <w:gridCol w:w="675"/>
        <w:gridCol w:w="757"/>
        <w:gridCol w:w="938"/>
        <w:gridCol w:w="4625"/>
        <w:gridCol w:w="1187"/>
        <w:gridCol w:w="1138"/>
        <w:gridCol w:w="9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253" w:hRule="atLeast"/>
        </w:trPr>
        <w:tc>
          <w:tcPr>
            <w:tcW w:w="10314" w:type="dxa"/>
            <w:gridSpan w:val="7"/>
            <w:tcBorders>
              <w:top w:val="double" w:color="auto" w:sz="4" w:space="0"/>
              <w:left w:val="double" w:color="auto" w:sz="4" w:space="0"/>
              <w:bottom w:val="double" w:color="auto" w:sz="4" w:space="0"/>
              <w:right w:val="double" w:color="auto" w:sz="4" w:space="0"/>
            </w:tcBorders>
            <w:shd w:val="clear" w:color="auto" w:fill="FFFFFF" w:themeFill="background1"/>
            <w:vAlign w:val="center"/>
          </w:tcPr>
          <w:p>
            <w:pPr>
              <w:spacing w:line="360" w:lineRule="auto"/>
              <w:jc w:val="center"/>
              <w:rPr>
                <w:rFonts w:cs="Arial" w:asciiTheme="minorEastAsia" w:hAnsiTheme="minorEastAsia" w:eastAsiaTheme="minorEastAsia"/>
                <w:b/>
                <w:sz w:val="18"/>
                <w:szCs w:val="18"/>
              </w:rPr>
            </w:pPr>
            <w:r>
              <w:rPr>
                <w:rFonts w:hint="eastAsia" w:cs="Arial" w:asciiTheme="minorEastAsia" w:hAnsiTheme="minorEastAsia" w:eastAsiaTheme="minorEastAsia"/>
                <w:b/>
                <w:sz w:val="18"/>
                <w:szCs w:val="18"/>
              </w:rPr>
              <w:t>服务及资费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53" w:hRule="atLeast"/>
        </w:trPr>
        <w:tc>
          <w:tcPr>
            <w:tcW w:w="2370" w:type="dxa"/>
            <w:gridSpan w:val="3"/>
            <w:vMerge w:val="restart"/>
            <w:tcBorders>
              <w:top w:val="single" w:color="auto" w:sz="4" w:space="0"/>
              <w:left w:val="double" w:color="auto" w:sz="4" w:space="0"/>
              <w:right w:val="sing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 w:val="18"/>
                <w:szCs w:val="18"/>
              </w:rPr>
            </w:pPr>
            <w:r>
              <w:rPr>
                <w:rFonts w:hint="eastAsia" w:cs="Arial" w:asciiTheme="minorEastAsia" w:hAnsiTheme="minorEastAsia" w:eastAsiaTheme="minorEastAsia"/>
                <w:position w:val="-1"/>
                <w:sz w:val="18"/>
                <w:szCs w:val="18"/>
              </w:rPr>
              <w:t>产品名称</w:t>
            </w:r>
          </w:p>
        </w:tc>
        <w:tc>
          <w:tcPr>
            <w:tcW w:w="4625" w:type="dxa"/>
            <w:vMerge w:val="restart"/>
            <w:tcBorders>
              <w:top w:val="single" w:color="auto" w:sz="4" w:space="0"/>
              <w:left w:val="single" w:color="auto" w:sz="4" w:space="0"/>
            </w:tcBorders>
            <w:shd w:val="clear" w:color="auto" w:fill="FFFFFF" w:themeFill="background1"/>
            <w:vAlign w:val="center"/>
          </w:tcPr>
          <w:p>
            <w:pPr>
              <w:spacing w:line="360" w:lineRule="auto"/>
              <w:jc w:val="center"/>
              <w:rPr>
                <w:rFonts w:cs="Arial" w:asciiTheme="minorEastAsia" w:hAnsiTheme="minorEastAsia" w:eastAsiaTheme="minorEastAsia"/>
                <w:color w:val="000000"/>
                <w:position w:val="-1"/>
                <w:sz w:val="18"/>
                <w:szCs w:val="18"/>
              </w:rPr>
            </w:pPr>
            <w:r>
              <w:rPr>
                <w:rFonts w:hint="eastAsia" w:cs="Arial" w:asciiTheme="minorEastAsia" w:hAnsiTheme="minorEastAsia" w:eastAsiaTheme="minorEastAsia"/>
                <w:position w:val="-1"/>
                <w:sz w:val="18"/>
                <w:szCs w:val="18"/>
              </w:rPr>
              <w:t>手续费率</w:t>
            </w:r>
          </w:p>
          <w:p>
            <w:pPr>
              <w:spacing w:line="360" w:lineRule="auto"/>
              <w:jc w:val="center"/>
              <w:rPr>
                <w:rFonts w:cs="Arial" w:asciiTheme="minorEastAsia" w:hAnsiTheme="minorEastAsia" w:eastAsiaTheme="minorEastAsia"/>
                <w:color w:val="000000"/>
                <w:position w:val="-1"/>
                <w:sz w:val="18"/>
                <w:szCs w:val="18"/>
              </w:rPr>
            </w:pPr>
            <w:r>
              <w:rPr>
                <w:rFonts w:hint="eastAsia" w:cs="Arial" w:asciiTheme="minorEastAsia" w:hAnsiTheme="minorEastAsia" w:eastAsiaTheme="minorEastAsia"/>
                <w:color w:val="000000"/>
                <w:position w:val="-1"/>
                <w:sz w:val="18"/>
                <w:szCs w:val="18"/>
              </w:rPr>
              <w:t>（按单笔交易金额收取）</w:t>
            </w:r>
          </w:p>
        </w:tc>
        <w:tc>
          <w:tcPr>
            <w:tcW w:w="2325" w:type="dxa"/>
            <w:gridSpan w:val="2"/>
            <w:tcBorders>
              <w:top w:val="single" w:color="auto" w:sz="4" w:space="0"/>
              <w:bottom w:val="single" w:color="auto" w:sz="4" w:space="0"/>
              <w:right w:val="single" w:color="auto" w:sz="6" w:space="0"/>
            </w:tcBorders>
            <w:shd w:val="clear" w:color="auto" w:fill="FFFFFF" w:themeFill="background1"/>
            <w:vAlign w:val="center"/>
          </w:tcPr>
          <w:p>
            <w:pPr>
              <w:spacing w:line="360" w:lineRule="auto"/>
              <w:jc w:val="center"/>
              <w:rPr>
                <w:rFonts w:cs="Arial" w:asciiTheme="minorEastAsia" w:hAnsiTheme="minorEastAsia" w:eastAsiaTheme="minorEastAsia"/>
                <w:color w:val="000000"/>
                <w:sz w:val="18"/>
                <w:szCs w:val="18"/>
              </w:rPr>
            </w:pPr>
            <w:r>
              <w:rPr>
                <w:rFonts w:hint="eastAsia" w:cs="宋体" w:asciiTheme="minorEastAsia" w:hAnsiTheme="minorEastAsia" w:eastAsiaTheme="minorEastAsia"/>
                <w:sz w:val="18"/>
                <w:szCs w:val="18"/>
              </w:rPr>
              <w:t>固定费用</w:t>
            </w:r>
          </w:p>
        </w:tc>
        <w:tc>
          <w:tcPr>
            <w:tcW w:w="994" w:type="dxa"/>
            <w:vMerge w:val="restart"/>
            <w:tcBorders>
              <w:top w:val="single" w:color="auto" w:sz="4" w:space="0"/>
              <w:left w:val="single" w:color="auto" w:sz="6" w:space="0"/>
              <w:right w:val="doub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 w:val="18"/>
                <w:szCs w:val="18"/>
              </w:rPr>
            </w:pPr>
            <w:r>
              <w:rPr>
                <w:rFonts w:hint="eastAsia" w:cs="Arial" w:asciiTheme="minorEastAsia" w:hAnsiTheme="minorEastAsia" w:eastAsiaTheme="minorEastAsia"/>
                <w:position w:val="-1"/>
                <w:sz w:val="18"/>
                <w:szCs w:val="18"/>
              </w:rPr>
              <w:t>结算周期</w:t>
            </w:r>
          </w:p>
          <w:p>
            <w:pPr>
              <w:spacing w:line="360" w:lineRule="auto"/>
              <w:rPr>
                <w:rFonts w:cs="Arial" w:asciiTheme="minorEastAsia" w:hAnsiTheme="minorEastAsia" w:eastAsiaTheme="minorEastAsia"/>
                <w:position w:val="-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182" w:hRule="atLeast"/>
        </w:trPr>
        <w:tc>
          <w:tcPr>
            <w:tcW w:w="2370" w:type="dxa"/>
            <w:gridSpan w:val="3"/>
            <w:vMerge w:val="continue"/>
            <w:tcBorders>
              <w:left w:val="double" w:color="auto" w:sz="4" w:space="0"/>
              <w:bottom w:val="single" w:color="auto" w:sz="4" w:space="0"/>
              <w:right w:val="sing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 w:val="18"/>
                <w:szCs w:val="18"/>
              </w:rPr>
            </w:pPr>
          </w:p>
        </w:tc>
        <w:tc>
          <w:tcPr>
            <w:tcW w:w="4625" w:type="dxa"/>
            <w:vMerge w:val="continue"/>
            <w:tcBorders>
              <w:left w:val="single" w:color="auto" w:sz="4" w:space="0"/>
              <w:bottom w:val="sing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 w:val="18"/>
                <w:szCs w:val="18"/>
              </w:rPr>
            </w:pPr>
          </w:p>
        </w:tc>
        <w:tc>
          <w:tcPr>
            <w:tcW w:w="1187" w:type="dxa"/>
            <w:tcBorders>
              <w:top w:val="single" w:color="auto" w:sz="4" w:space="0"/>
              <w:bottom w:val="single" w:color="auto" w:sz="4" w:space="0"/>
              <w:right w:val="single" w:color="auto" w:sz="6" w:space="0"/>
            </w:tcBorders>
            <w:shd w:val="clear" w:color="auto" w:fill="FFFFFF" w:themeFill="background1"/>
            <w:vAlign w:val="center"/>
          </w:tcPr>
          <w:p>
            <w:pPr>
              <w:spacing w:line="360" w:lineRule="auto"/>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接入服务费</w:t>
            </w:r>
          </w:p>
        </w:tc>
        <w:tc>
          <w:tcPr>
            <w:tcW w:w="1138" w:type="dxa"/>
            <w:tcBorders>
              <w:top w:val="single" w:color="auto" w:sz="4" w:space="0"/>
              <w:bottom w:val="single" w:color="auto" w:sz="4" w:space="0"/>
              <w:right w:val="single" w:color="auto" w:sz="6" w:space="0"/>
            </w:tcBorders>
            <w:shd w:val="clear" w:color="auto" w:fill="FFFFFF" w:themeFill="background1"/>
            <w:vAlign w:val="center"/>
          </w:tcPr>
          <w:p>
            <w:pPr>
              <w:spacing w:line="360" w:lineRule="auto"/>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技术服务费</w:t>
            </w:r>
          </w:p>
        </w:tc>
        <w:tc>
          <w:tcPr>
            <w:tcW w:w="994" w:type="dxa"/>
            <w:vMerge w:val="continue"/>
            <w:tcBorders>
              <w:left w:val="single" w:color="auto" w:sz="6" w:space="0"/>
              <w:bottom w:val="single" w:color="auto" w:sz="4" w:space="0"/>
              <w:right w:val="doub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543" w:hRule="atLeast"/>
        </w:trPr>
        <w:tc>
          <w:tcPr>
            <w:tcW w:w="675" w:type="dxa"/>
            <w:vMerge w:val="restart"/>
            <w:tcBorders>
              <w:top w:val="single" w:color="auto" w:sz="4" w:space="0"/>
              <w:left w:val="double" w:color="auto" w:sz="4" w:space="0"/>
              <w:bottom w:val="single" w:color="auto" w:sz="4" w:space="0"/>
              <w:right w:val="single" w:color="auto" w:sz="4" w:space="0"/>
            </w:tcBorders>
            <w:shd w:val="clear" w:color="auto" w:fill="FFFFFF" w:themeFill="background1"/>
            <w:textDirection w:val="tbRlV"/>
            <w:vAlign w:val="center"/>
          </w:tcPr>
          <w:p>
            <w:pPr>
              <w:spacing w:line="360" w:lineRule="auto"/>
              <w:ind w:left="113" w:right="113"/>
              <w:jc w:val="center"/>
              <w:rPr>
                <w:rFonts w:cs="Arial" w:asciiTheme="minorEastAsia" w:hAnsiTheme="minorEastAsia" w:eastAsiaTheme="minorEastAsia"/>
                <w:position w:val="-1"/>
                <w:sz w:val="18"/>
                <w:szCs w:val="18"/>
              </w:rPr>
            </w:pPr>
            <w:r>
              <w:rPr>
                <w:rFonts w:hint="eastAsia" w:cs="Arial" w:asciiTheme="minorEastAsia" w:hAnsiTheme="minorEastAsia" w:eastAsiaTheme="minorEastAsia"/>
                <w:sz w:val="18"/>
                <w:szCs w:val="18"/>
              </w:rPr>
              <w:t>银行卡收单</w:t>
            </w:r>
          </w:p>
        </w:tc>
        <w:tc>
          <w:tcPr>
            <w:tcW w:w="75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宋体" w:hAnsi="宋体" w:cs="宋体"/>
                <w:position w:val="-1"/>
                <w:sz w:val="18"/>
                <w:szCs w:val="18"/>
              </w:rPr>
            </w:pPr>
            <w:r>
              <w:rPr>
                <w:rFonts w:hint="eastAsia" w:cs="Arial" w:asciiTheme="minorEastAsia" w:hAnsiTheme="minorEastAsia" w:eastAsiaTheme="minorEastAsia"/>
                <w:sz w:val="18"/>
                <w:szCs w:val="18"/>
              </w:rPr>
              <w:sym w:font="Wingdings 2" w:char="0052"/>
            </w:r>
            <w:r>
              <w:rPr>
                <w:rFonts w:hint="eastAsia" w:ascii="宋体" w:hAnsi="宋体" w:cs="宋体"/>
                <w:sz w:val="18"/>
                <w:szCs w:val="18"/>
              </w:rPr>
              <w:t>pos</w:t>
            </w:r>
          </w:p>
        </w:tc>
        <w:tc>
          <w:tcPr>
            <w:tcW w:w="9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 w:val="18"/>
                <w:szCs w:val="18"/>
              </w:rPr>
            </w:pPr>
            <w:r>
              <w:rPr>
                <w:rFonts w:hint="eastAsia" w:cs="Arial" w:asciiTheme="minorEastAsia" w:hAnsiTheme="minorEastAsia" w:eastAsiaTheme="minorEastAsia"/>
                <w:sz w:val="18"/>
                <w:szCs w:val="18"/>
              </w:rPr>
              <w:sym w:font="Wingdings 2" w:char="0052"/>
            </w:r>
            <w:r>
              <w:rPr>
                <w:rFonts w:hint="eastAsia" w:cs="宋体" w:asciiTheme="minorEastAsia" w:hAnsiTheme="minorEastAsia" w:eastAsiaTheme="minorEastAsia"/>
                <w:sz w:val="18"/>
                <w:szCs w:val="18"/>
              </w:rPr>
              <w:t>借记卡</w:t>
            </w:r>
          </w:p>
        </w:tc>
        <w:tc>
          <w:tcPr>
            <w:tcW w:w="46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 w:val="18"/>
                <w:szCs w:val="18"/>
              </w:rPr>
            </w:pPr>
            <w:r>
              <w:rPr>
                <w:rFonts w:hint="eastAsia" w:cs="Arial" w:asciiTheme="minorEastAsia" w:hAnsiTheme="minorEastAsia" w:eastAsiaTheme="minorEastAsia"/>
                <w:position w:val="-1"/>
                <w:sz w:val="18"/>
                <w:szCs w:val="18"/>
              </w:rPr>
              <w:t>交易手续费__________</w:t>
            </w:r>
            <w:r>
              <w:rPr>
                <w:rFonts w:cs="Arial" w:asciiTheme="minorEastAsia" w:hAnsiTheme="minorEastAsia" w:eastAsiaTheme="minorEastAsia"/>
                <w:position w:val="-1"/>
                <w:sz w:val="18"/>
                <w:szCs w:val="18"/>
              </w:rPr>
              <w:t>%</w:t>
            </w:r>
            <w:r>
              <w:rPr>
                <w:rFonts w:hint="eastAsia" w:cs="Arial" w:asciiTheme="minorEastAsia" w:hAnsiTheme="minorEastAsia" w:eastAsiaTheme="minorEastAsia"/>
                <w:position w:val="-1"/>
                <w:sz w:val="18"/>
                <w:szCs w:val="18"/>
              </w:rPr>
              <w:t>，__________元封顶，</w:t>
            </w:r>
          </w:p>
          <w:p>
            <w:pPr>
              <w:spacing w:line="360" w:lineRule="auto"/>
              <w:rPr>
                <w:rFonts w:cs="Arial" w:asciiTheme="minorEastAsia" w:hAnsiTheme="minorEastAsia" w:eastAsiaTheme="minorEastAsia"/>
                <w:position w:val="-1"/>
                <w:sz w:val="18"/>
                <w:szCs w:val="18"/>
              </w:rPr>
            </w:pPr>
            <w:r>
              <w:rPr>
                <w:rFonts w:hint="eastAsia" w:cs="Arial" w:asciiTheme="minorEastAsia" w:hAnsiTheme="minorEastAsia" w:eastAsiaTheme="minorEastAsia"/>
                <w:position w:val="-1"/>
                <w:sz w:val="18"/>
                <w:szCs w:val="18"/>
              </w:rPr>
              <w:t>即时付款+_____%</w:t>
            </w:r>
          </w:p>
        </w:tc>
        <w:tc>
          <w:tcPr>
            <w:tcW w:w="1187" w:type="dxa"/>
            <w:vMerge w:val="restart"/>
            <w:tcBorders>
              <w:top w:val="single" w:color="auto" w:sz="4" w:space="0"/>
              <w:left w:val="single" w:color="auto" w:sz="4" w:space="0"/>
              <w:right w:val="single" w:color="auto" w:sz="4" w:space="0"/>
            </w:tcBorders>
            <w:shd w:val="clear" w:color="auto" w:fill="FFFFFF" w:themeFill="background1"/>
            <w:vAlign w:val="center"/>
          </w:tcPr>
          <w:p>
            <w:pPr>
              <w:spacing w:line="360" w:lineRule="auto"/>
              <w:ind w:left="450" w:hanging="450" w:hangingChars="250"/>
              <w:jc w:val="center"/>
              <w:rPr>
                <w:rFonts w:cs="Arial" w:asciiTheme="minorEastAsia" w:hAnsiTheme="minorEastAsia" w:eastAsiaTheme="minorEastAsia"/>
                <w:position w:val="-1"/>
                <w:sz w:val="18"/>
                <w:szCs w:val="18"/>
              </w:rPr>
            </w:pPr>
          </w:p>
        </w:tc>
        <w:tc>
          <w:tcPr>
            <w:tcW w:w="1138" w:type="dxa"/>
            <w:vMerge w:val="restart"/>
            <w:tcBorders>
              <w:top w:val="single" w:color="auto" w:sz="4" w:space="0"/>
              <w:left w:val="single" w:color="auto" w:sz="4" w:space="0"/>
              <w:right w:val="single" w:color="auto" w:sz="4" w:space="0"/>
            </w:tcBorders>
            <w:shd w:val="clear" w:color="auto" w:fill="FFFFFF" w:themeFill="background1"/>
            <w:vAlign w:val="center"/>
          </w:tcPr>
          <w:p>
            <w:pPr>
              <w:spacing w:line="360" w:lineRule="auto"/>
              <w:ind w:left="450" w:hanging="450" w:hangingChars="250"/>
              <w:jc w:val="center"/>
              <w:rPr>
                <w:rFonts w:cs="Arial" w:asciiTheme="minorEastAsia" w:hAnsiTheme="minorEastAsia" w:eastAsiaTheme="minorEastAsia"/>
                <w:sz w:val="18"/>
                <w:szCs w:val="18"/>
              </w:rPr>
            </w:pPr>
          </w:p>
        </w:tc>
        <w:tc>
          <w:tcPr>
            <w:tcW w:w="994" w:type="dxa"/>
            <w:vMerge w:val="restart"/>
            <w:tcBorders>
              <w:top w:val="single" w:color="auto" w:sz="4" w:space="0"/>
              <w:left w:val="single" w:color="auto" w:sz="4" w:space="0"/>
              <w:right w:val="doub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 w:val="18"/>
                <w:szCs w:val="18"/>
              </w:rPr>
            </w:pPr>
            <w:r>
              <w:rPr>
                <w:rFonts w:hint="eastAsia" w:ascii="宋体" w:hAnsi="宋体" w:cs="宋体"/>
                <w:position w:val="-1"/>
                <w:sz w:val="18"/>
                <w:szCs w:val="18"/>
              </w:rPr>
              <w:t>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157" w:hRule="atLeast"/>
        </w:trPr>
        <w:tc>
          <w:tcPr>
            <w:tcW w:w="675" w:type="dxa"/>
            <w:vMerge w:val="continue"/>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sz w:val="18"/>
                <w:szCs w:val="18"/>
              </w:rPr>
            </w:pPr>
          </w:p>
        </w:tc>
        <w:tc>
          <w:tcPr>
            <w:tcW w:w="7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宋体" w:hAnsi="宋体" w:cs="宋体"/>
                <w:sz w:val="18"/>
                <w:szCs w:val="18"/>
              </w:rPr>
            </w:pPr>
          </w:p>
        </w:tc>
        <w:tc>
          <w:tcPr>
            <w:tcW w:w="9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sym w:font="Wingdings 2" w:char="0052"/>
            </w:r>
            <w:r>
              <w:rPr>
                <w:rFonts w:hint="eastAsia" w:cs="宋体" w:asciiTheme="minorEastAsia" w:hAnsiTheme="minorEastAsia" w:eastAsiaTheme="minorEastAsia"/>
                <w:sz w:val="18"/>
                <w:szCs w:val="18"/>
              </w:rPr>
              <w:t>贷记卡</w:t>
            </w:r>
          </w:p>
        </w:tc>
        <w:tc>
          <w:tcPr>
            <w:tcW w:w="46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 w:val="18"/>
                <w:szCs w:val="18"/>
              </w:rPr>
            </w:pPr>
            <w:r>
              <w:rPr>
                <w:rFonts w:hint="eastAsia" w:cs="Arial" w:asciiTheme="minorEastAsia" w:hAnsiTheme="minorEastAsia" w:eastAsiaTheme="minorEastAsia"/>
                <w:position w:val="-1"/>
                <w:sz w:val="18"/>
                <w:szCs w:val="18"/>
              </w:rPr>
              <w:t>交易手续费__________</w:t>
            </w:r>
            <w:r>
              <w:rPr>
                <w:rFonts w:cs="Arial" w:asciiTheme="minorEastAsia" w:hAnsiTheme="minorEastAsia" w:eastAsiaTheme="minorEastAsia"/>
                <w:position w:val="-1"/>
                <w:sz w:val="18"/>
                <w:szCs w:val="18"/>
              </w:rPr>
              <w:t>%</w:t>
            </w:r>
            <w:r>
              <w:rPr>
                <w:rFonts w:hint="eastAsia" w:cs="Arial" w:asciiTheme="minorEastAsia" w:hAnsiTheme="minorEastAsia" w:eastAsiaTheme="minorEastAsia"/>
                <w:position w:val="-1"/>
                <w:sz w:val="18"/>
                <w:szCs w:val="18"/>
              </w:rPr>
              <w:t>，即时付款+_____%</w:t>
            </w:r>
          </w:p>
        </w:tc>
        <w:tc>
          <w:tcPr>
            <w:tcW w:w="1187" w:type="dxa"/>
            <w:vMerge w:val="continue"/>
            <w:tcBorders>
              <w:left w:val="single" w:color="auto" w:sz="4" w:space="0"/>
              <w:right w:val="single" w:color="auto" w:sz="4" w:space="0"/>
            </w:tcBorders>
            <w:shd w:val="clear" w:color="auto" w:fill="FFFFFF" w:themeFill="background1"/>
            <w:vAlign w:val="center"/>
          </w:tcPr>
          <w:p>
            <w:pPr>
              <w:spacing w:line="360" w:lineRule="auto"/>
              <w:jc w:val="center"/>
              <w:rPr>
                <w:rFonts w:cs="Arial" w:asciiTheme="minorEastAsia" w:hAnsiTheme="minorEastAsia" w:eastAsiaTheme="minorEastAsia"/>
                <w:sz w:val="18"/>
                <w:szCs w:val="18"/>
              </w:rPr>
            </w:pPr>
          </w:p>
        </w:tc>
        <w:tc>
          <w:tcPr>
            <w:tcW w:w="1138" w:type="dxa"/>
            <w:vMerge w:val="continue"/>
            <w:tcBorders>
              <w:left w:val="single" w:color="auto" w:sz="4" w:space="0"/>
              <w:right w:val="single" w:color="auto" w:sz="4" w:space="0"/>
            </w:tcBorders>
            <w:shd w:val="clear" w:color="auto" w:fill="FFFFFF" w:themeFill="background1"/>
            <w:vAlign w:val="center"/>
          </w:tcPr>
          <w:p>
            <w:pPr>
              <w:spacing w:line="360" w:lineRule="auto"/>
              <w:jc w:val="center"/>
              <w:rPr>
                <w:rFonts w:cs="Arial" w:asciiTheme="minorEastAsia" w:hAnsiTheme="minorEastAsia" w:eastAsiaTheme="minorEastAsia"/>
                <w:sz w:val="18"/>
                <w:szCs w:val="18"/>
              </w:rPr>
            </w:pPr>
          </w:p>
        </w:tc>
        <w:tc>
          <w:tcPr>
            <w:tcW w:w="994" w:type="dxa"/>
            <w:vMerge w:val="continue"/>
            <w:tcBorders>
              <w:left w:val="single" w:color="auto" w:sz="4" w:space="0"/>
              <w:bottom w:val="single" w:color="auto" w:sz="4" w:space="0"/>
              <w:right w:val="double" w:color="auto" w:sz="4" w:space="0"/>
            </w:tcBorders>
            <w:shd w:val="clear" w:color="auto" w:fill="FFFFFF" w:themeFill="background1"/>
            <w:vAlign w:val="center"/>
          </w:tcPr>
          <w:p>
            <w:pPr>
              <w:spacing w:line="360" w:lineRule="auto"/>
              <w:rPr>
                <w:rFonts w:cs="Arial" w:asciiTheme="minorEastAsia" w:hAnsiTheme="minorEastAsia" w:eastAsia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56" w:hRule="atLeast"/>
        </w:trPr>
        <w:tc>
          <w:tcPr>
            <w:tcW w:w="675" w:type="dxa"/>
            <w:vMerge w:val="continue"/>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 w:val="18"/>
                <w:szCs w:val="18"/>
              </w:rPr>
            </w:pPr>
          </w:p>
        </w:tc>
        <w:tc>
          <w:tcPr>
            <w:tcW w:w="75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宋体" w:hAnsi="宋体" w:cs="宋体"/>
                <w:position w:val="-1"/>
                <w:sz w:val="18"/>
                <w:szCs w:val="18"/>
              </w:rPr>
            </w:pPr>
            <w:r>
              <w:rPr>
                <w:rFonts w:hint="eastAsia" w:ascii="宋体" w:hAnsi="宋体" w:cs="宋体"/>
                <w:sz w:val="18"/>
                <w:szCs w:val="18"/>
              </w:rPr>
              <w:t>□Mpos</w:t>
            </w:r>
          </w:p>
        </w:tc>
        <w:tc>
          <w:tcPr>
            <w:tcW w:w="9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 w:val="18"/>
                <w:szCs w:val="18"/>
              </w:rPr>
            </w:pPr>
            <w:r>
              <w:rPr>
                <w:rFonts w:hint="eastAsia" w:cs="Arial" w:asciiTheme="minorEastAsia" w:hAnsiTheme="minorEastAsia" w:eastAsiaTheme="minorEastAsia"/>
                <w:sz w:val="18"/>
                <w:szCs w:val="18"/>
              </w:rPr>
              <w:t>□</w:t>
            </w:r>
            <w:r>
              <w:rPr>
                <w:rFonts w:hint="eastAsia" w:cs="宋体" w:asciiTheme="minorEastAsia" w:hAnsiTheme="minorEastAsia" w:eastAsiaTheme="minorEastAsia"/>
                <w:sz w:val="18"/>
                <w:szCs w:val="18"/>
              </w:rPr>
              <w:t>借记卡</w:t>
            </w:r>
          </w:p>
        </w:tc>
        <w:tc>
          <w:tcPr>
            <w:tcW w:w="46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 w:val="18"/>
                <w:szCs w:val="18"/>
              </w:rPr>
            </w:pPr>
            <w:r>
              <w:rPr>
                <w:rFonts w:hint="eastAsia" w:cs="Arial" w:asciiTheme="minorEastAsia" w:hAnsiTheme="minorEastAsia" w:eastAsiaTheme="minorEastAsia"/>
                <w:position w:val="-1"/>
                <w:sz w:val="18"/>
                <w:szCs w:val="18"/>
              </w:rPr>
              <w:t>交易手续费__________</w:t>
            </w:r>
            <w:r>
              <w:rPr>
                <w:rFonts w:cs="Arial" w:asciiTheme="minorEastAsia" w:hAnsiTheme="minorEastAsia" w:eastAsiaTheme="minorEastAsia"/>
                <w:position w:val="-1"/>
                <w:sz w:val="18"/>
                <w:szCs w:val="18"/>
              </w:rPr>
              <w:t>%</w:t>
            </w:r>
            <w:r>
              <w:rPr>
                <w:rFonts w:hint="eastAsia" w:cs="Arial" w:asciiTheme="minorEastAsia" w:hAnsiTheme="minorEastAsia" w:eastAsiaTheme="minorEastAsia"/>
                <w:position w:val="-1"/>
                <w:sz w:val="18"/>
                <w:szCs w:val="18"/>
              </w:rPr>
              <w:t>，__________元封顶，</w:t>
            </w:r>
          </w:p>
          <w:p>
            <w:pPr>
              <w:spacing w:line="360" w:lineRule="auto"/>
              <w:rPr>
                <w:rFonts w:cs="Arial" w:asciiTheme="minorEastAsia" w:hAnsiTheme="minorEastAsia" w:eastAsiaTheme="minorEastAsia"/>
                <w:position w:val="-1"/>
                <w:sz w:val="18"/>
                <w:szCs w:val="18"/>
              </w:rPr>
            </w:pPr>
            <w:r>
              <w:rPr>
                <w:rFonts w:hint="eastAsia" w:cs="Arial" w:asciiTheme="minorEastAsia" w:hAnsiTheme="minorEastAsia" w:eastAsiaTheme="minorEastAsia"/>
                <w:position w:val="-1"/>
                <w:sz w:val="18"/>
                <w:szCs w:val="18"/>
              </w:rPr>
              <w:t>即时付款+_____%</w:t>
            </w:r>
          </w:p>
        </w:tc>
        <w:tc>
          <w:tcPr>
            <w:tcW w:w="1187" w:type="dxa"/>
            <w:vMerge w:val="continue"/>
            <w:tcBorders>
              <w:left w:val="single" w:color="auto" w:sz="4" w:space="0"/>
              <w:right w:val="single" w:color="auto" w:sz="4" w:space="0"/>
            </w:tcBorders>
            <w:shd w:val="clear" w:color="auto" w:fill="FFFFFF" w:themeFill="background1"/>
            <w:vAlign w:val="center"/>
          </w:tcPr>
          <w:p>
            <w:pPr>
              <w:spacing w:line="360" w:lineRule="auto"/>
              <w:jc w:val="center"/>
              <w:rPr>
                <w:rFonts w:asciiTheme="minorEastAsia" w:hAnsiTheme="minorEastAsia" w:eastAsiaTheme="minorEastAsia"/>
                <w:sz w:val="18"/>
                <w:szCs w:val="18"/>
              </w:rPr>
            </w:pPr>
          </w:p>
        </w:tc>
        <w:tc>
          <w:tcPr>
            <w:tcW w:w="1138" w:type="dxa"/>
            <w:vMerge w:val="continue"/>
            <w:tcBorders>
              <w:left w:val="single" w:color="auto" w:sz="4" w:space="0"/>
              <w:right w:val="sing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 w:val="18"/>
                <w:szCs w:val="18"/>
              </w:rPr>
            </w:pPr>
          </w:p>
        </w:tc>
        <w:tc>
          <w:tcPr>
            <w:tcW w:w="994" w:type="dxa"/>
            <w:vMerge w:val="restart"/>
            <w:tcBorders>
              <w:top w:val="single" w:color="auto" w:sz="4" w:space="0"/>
              <w:left w:val="single" w:color="auto" w:sz="4" w:space="0"/>
              <w:right w:val="doub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 w:val="18"/>
                <w:szCs w:val="18"/>
              </w:rPr>
            </w:pPr>
            <w:r>
              <w:rPr>
                <w:rFonts w:hint="eastAsia" w:ascii="宋体" w:hAnsi="宋体" w:cs="宋体"/>
                <w:position w:val="-1"/>
                <w:sz w:val="18"/>
                <w:szCs w:val="18"/>
              </w:rPr>
              <w:t>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90" w:hRule="atLeast"/>
        </w:trPr>
        <w:tc>
          <w:tcPr>
            <w:tcW w:w="675" w:type="dxa"/>
            <w:vMerge w:val="continue"/>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sz w:val="18"/>
                <w:szCs w:val="18"/>
              </w:rPr>
            </w:pPr>
          </w:p>
        </w:tc>
        <w:tc>
          <w:tcPr>
            <w:tcW w:w="7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sz w:val="18"/>
                <w:szCs w:val="18"/>
              </w:rPr>
            </w:pPr>
          </w:p>
        </w:tc>
        <w:tc>
          <w:tcPr>
            <w:tcW w:w="9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 w:val="18"/>
                <w:szCs w:val="18"/>
              </w:rPr>
            </w:pPr>
            <w:r>
              <w:rPr>
                <w:rFonts w:hint="eastAsia" w:cs="Arial" w:asciiTheme="minorEastAsia" w:hAnsiTheme="minorEastAsia" w:eastAsiaTheme="minorEastAsia"/>
                <w:sz w:val="18"/>
                <w:szCs w:val="18"/>
              </w:rPr>
              <w:t>□</w:t>
            </w:r>
            <w:r>
              <w:rPr>
                <w:rFonts w:hint="eastAsia" w:cs="宋体" w:asciiTheme="minorEastAsia" w:hAnsiTheme="minorEastAsia" w:eastAsiaTheme="minorEastAsia"/>
                <w:sz w:val="18"/>
                <w:szCs w:val="18"/>
              </w:rPr>
              <w:t>贷记卡</w:t>
            </w:r>
          </w:p>
        </w:tc>
        <w:tc>
          <w:tcPr>
            <w:tcW w:w="46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 w:val="18"/>
                <w:szCs w:val="18"/>
              </w:rPr>
            </w:pPr>
            <w:r>
              <w:rPr>
                <w:rFonts w:hint="eastAsia" w:cs="Arial" w:asciiTheme="minorEastAsia" w:hAnsiTheme="minorEastAsia" w:eastAsiaTheme="minorEastAsia"/>
                <w:position w:val="-1"/>
                <w:sz w:val="18"/>
                <w:szCs w:val="18"/>
              </w:rPr>
              <w:t>交易手续费__________</w:t>
            </w:r>
            <w:r>
              <w:rPr>
                <w:rFonts w:cs="Arial" w:asciiTheme="minorEastAsia" w:hAnsiTheme="minorEastAsia" w:eastAsiaTheme="minorEastAsia"/>
                <w:position w:val="-1"/>
                <w:sz w:val="18"/>
                <w:szCs w:val="18"/>
              </w:rPr>
              <w:t>%</w:t>
            </w:r>
            <w:r>
              <w:rPr>
                <w:rFonts w:hint="eastAsia" w:cs="Arial" w:asciiTheme="minorEastAsia" w:hAnsiTheme="minorEastAsia" w:eastAsiaTheme="minorEastAsia"/>
                <w:position w:val="-1"/>
                <w:sz w:val="18"/>
                <w:szCs w:val="18"/>
              </w:rPr>
              <w:t>，即时付款+_____%</w:t>
            </w:r>
          </w:p>
        </w:tc>
        <w:tc>
          <w:tcPr>
            <w:tcW w:w="1187" w:type="dxa"/>
            <w:vMerge w:val="continue"/>
            <w:tcBorders>
              <w:left w:val="single" w:color="auto" w:sz="4" w:space="0"/>
              <w:right w:val="single" w:color="auto" w:sz="4" w:space="0"/>
            </w:tcBorders>
            <w:shd w:val="clear" w:color="auto" w:fill="FFFFFF" w:themeFill="background1"/>
            <w:vAlign w:val="center"/>
          </w:tcPr>
          <w:p>
            <w:pPr>
              <w:spacing w:line="360" w:lineRule="auto"/>
              <w:jc w:val="center"/>
              <w:rPr>
                <w:rFonts w:cs="Arial" w:asciiTheme="minorEastAsia" w:hAnsiTheme="minorEastAsia" w:eastAsiaTheme="minorEastAsia"/>
                <w:color w:val="FF0000"/>
                <w:sz w:val="18"/>
                <w:szCs w:val="18"/>
              </w:rPr>
            </w:pPr>
          </w:p>
        </w:tc>
        <w:tc>
          <w:tcPr>
            <w:tcW w:w="1138" w:type="dxa"/>
            <w:vMerge w:val="continue"/>
            <w:tcBorders>
              <w:left w:val="single" w:color="auto" w:sz="4" w:space="0"/>
              <w:right w:val="single" w:color="auto" w:sz="4" w:space="0"/>
            </w:tcBorders>
            <w:shd w:val="clear" w:color="auto" w:fill="FFFFFF" w:themeFill="background1"/>
            <w:vAlign w:val="center"/>
          </w:tcPr>
          <w:p>
            <w:pPr>
              <w:spacing w:line="360" w:lineRule="auto"/>
              <w:jc w:val="center"/>
              <w:rPr>
                <w:rFonts w:cs="Arial" w:asciiTheme="minorEastAsia" w:hAnsiTheme="minorEastAsia" w:eastAsiaTheme="minorEastAsia"/>
                <w:color w:val="FF0000"/>
                <w:sz w:val="18"/>
                <w:szCs w:val="18"/>
              </w:rPr>
            </w:pPr>
          </w:p>
        </w:tc>
        <w:tc>
          <w:tcPr>
            <w:tcW w:w="994" w:type="dxa"/>
            <w:vMerge w:val="continue"/>
            <w:tcBorders>
              <w:left w:val="single" w:color="auto" w:sz="4" w:space="0"/>
              <w:right w:val="double" w:color="auto" w:sz="4" w:space="0"/>
            </w:tcBorders>
            <w:shd w:val="clear" w:color="auto" w:fill="FFFFFF" w:themeFill="background1"/>
            <w:vAlign w:val="center"/>
          </w:tcPr>
          <w:p>
            <w:pPr>
              <w:spacing w:line="360" w:lineRule="auto"/>
              <w:rPr>
                <w:rFonts w:cs="Arial" w:asciiTheme="minorEastAsia" w:hAnsiTheme="minorEastAsia" w:eastAsiaTheme="minorEastAsia"/>
                <w:sz w:val="18"/>
                <w:szCs w:val="18"/>
              </w:rPr>
            </w:pPr>
          </w:p>
        </w:tc>
      </w:tr>
    </w:tbl>
    <w:p>
      <w:pPr>
        <w:spacing w:line="360" w:lineRule="auto"/>
        <w:jc w:val="left"/>
        <w:rPr>
          <w:sz w:val="18"/>
          <w:szCs w:val="18"/>
        </w:rPr>
      </w:pPr>
    </w:p>
    <w:p>
      <w:pPr>
        <w:spacing w:line="360" w:lineRule="auto"/>
        <w:ind w:left="360"/>
        <w:jc w:val="left"/>
        <w:rPr>
          <w:rFonts w:hint="eastAsia" w:ascii="宋体" w:hAnsi="宋体" w:eastAsia="宋体" w:cs="宋体"/>
        </w:rPr>
      </w:pPr>
      <w:r>
        <w:rPr>
          <w:rFonts w:hint="eastAsia" w:ascii="宋体" w:hAnsi="宋体" w:eastAsia="宋体" w:cs="宋体"/>
        </w:rPr>
        <w:t>2.1.2扫码类服务资费标准：</w:t>
      </w:r>
    </w:p>
    <w:p>
      <w:pPr>
        <w:spacing w:line="360" w:lineRule="auto"/>
        <w:jc w:val="left"/>
        <w:rPr>
          <w:rFonts w:hint="eastAsia" w:ascii="宋体" w:hAnsi="宋体" w:eastAsia="宋体" w:cs="宋体"/>
        </w:rPr>
      </w:pPr>
    </w:p>
    <w:tbl>
      <w:tblPr>
        <w:tblStyle w:val="6"/>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2663"/>
        <w:gridCol w:w="1507"/>
        <w:gridCol w:w="161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68" w:type="dxa"/>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lang w:val="zh-TW" w:eastAsia="zh-TW"/>
              </w:rPr>
              <w:t>产品类型</w:t>
            </w:r>
          </w:p>
        </w:tc>
        <w:tc>
          <w:tcPr>
            <w:tcW w:w="2663" w:type="dxa"/>
            <w:vAlign w:val="center"/>
          </w:tcPr>
          <w:p>
            <w:pPr>
              <w:pStyle w:val="10"/>
              <w:tabs>
                <w:tab w:val="left" w:pos="4320"/>
                <w:tab w:val="left" w:pos="7200"/>
              </w:tabs>
              <w:spacing w:line="360" w:lineRule="auto"/>
              <w:jc w:val="center"/>
              <w:rPr>
                <w:rFonts w:ascii="宋体" w:hAnsi="宋体" w:eastAsia="PMingLiU" w:cs="宋体"/>
                <w:kern w:val="0"/>
                <w:sz w:val="18"/>
                <w:szCs w:val="18"/>
                <w:lang w:val="zh-TW" w:eastAsia="zh-TW"/>
              </w:rPr>
            </w:pPr>
            <w:r>
              <w:rPr>
                <w:rFonts w:hint="eastAsia" w:ascii="宋体" w:hAnsi="宋体" w:eastAsia="宋体" w:cs="宋体"/>
                <w:kern w:val="0"/>
                <w:sz w:val="18"/>
                <w:szCs w:val="18"/>
                <w:lang w:val="zh-TW"/>
              </w:rPr>
              <w:t>手续</w:t>
            </w:r>
            <w:r>
              <w:rPr>
                <w:rFonts w:hint="eastAsia" w:ascii="宋体" w:hAnsi="宋体" w:eastAsia="宋体" w:cs="宋体"/>
                <w:kern w:val="0"/>
                <w:sz w:val="18"/>
                <w:szCs w:val="18"/>
                <w:lang w:val="zh-TW" w:eastAsia="zh-TW"/>
              </w:rPr>
              <w:t>费率</w:t>
            </w:r>
          </w:p>
          <w:p>
            <w:pPr>
              <w:pStyle w:val="10"/>
              <w:tabs>
                <w:tab w:val="left" w:pos="4320"/>
                <w:tab w:val="left" w:pos="7200"/>
              </w:tabs>
              <w:spacing w:line="360" w:lineRule="auto"/>
              <w:jc w:val="center"/>
              <w:rPr>
                <w:rFonts w:ascii="宋体" w:hAnsi="宋体" w:eastAsia="PMingLiU" w:cs="宋体"/>
                <w:kern w:val="0"/>
                <w:sz w:val="18"/>
                <w:szCs w:val="18"/>
                <w:lang w:val="zh-TW" w:eastAsia="zh-TW"/>
              </w:rPr>
            </w:pPr>
            <w:r>
              <w:rPr>
                <w:rFonts w:hint="eastAsia" w:cs="宋体" w:asciiTheme="minorEastAsia" w:hAnsiTheme="minorEastAsia" w:eastAsiaTheme="minorEastAsia"/>
                <w:kern w:val="0"/>
                <w:sz w:val="18"/>
                <w:szCs w:val="18"/>
                <w:lang w:val="zh-TW"/>
              </w:rPr>
              <w:t>（按单笔交易金额收取）</w:t>
            </w:r>
          </w:p>
        </w:tc>
        <w:tc>
          <w:tcPr>
            <w:tcW w:w="1507" w:type="dxa"/>
            <w:vAlign w:val="center"/>
          </w:tcPr>
          <w:p>
            <w:pPr>
              <w:pStyle w:val="10"/>
              <w:tabs>
                <w:tab w:val="left" w:pos="4320"/>
                <w:tab w:val="left" w:pos="7200"/>
              </w:tabs>
              <w:spacing w:line="360" w:lineRule="auto"/>
              <w:jc w:val="center"/>
              <w:rPr>
                <w:rFonts w:ascii="宋体" w:hAnsi="宋体" w:eastAsia="宋体" w:cs="宋体"/>
                <w:kern w:val="0"/>
                <w:sz w:val="18"/>
                <w:szCs w:val="18"/>
                <w:lang w:val="zh-TW"/>
              </w:rPr>
            </w:pPr>
            <w:r>
              <w:rPr>
                <w:rFonts w:hint="eastAsia" w:ascii="宋体" w:hAnsi="宋体" w:eastAsia="宋体" w:cs="宋体"/>
                <w:kern w:val="0"/>
                <w:sz w:val="18"/>
                <w:szCs w:val="18"/>
                <w:lang w:val="zh-TW"/>
              </w:rPr>
              <w:t xml:space="preserve"> 结算周期</w:t>
            </w:r>
          </w:p>
        </w:tc>
        <w:tc>
          <w:tcPr>
            <w:tcW w:w="1610" w:type="dxa"/>
            <w:vAlign w:val="center"/>
          </w:tcPr>
          <w:p>
            <w:pPr>
              <w:pStyle w:val="10"/>
              <w:tabs>
                <w:tab w:val="left" w:pos="4320"/>
                <w:tab w:val="left" w:pos="7200"/>
              </w:tabs>
              <w:spacing w:line="360" w:lineRule="auto"/>
              <w:jc w:val="center"/>
              <w:rPr>
                <w:rFonts w:ascii="宋体" w:hAnsi="宋体" w:eastAsia="宋体" w:cs="宋体"/>
                <w:kern w:val="0"/>
                <w:sz w:val="18"/>
                <w:szCs w:val="18"/>
                <w:lang w:val="zh-TW"/>
              </w:rPr>
            </w:pPr>
            <w:r>
              <w:rPr>
                <w:rFonts w:hint="eastAsia" w:ascii="宋体" w:hAnsi="宋体" w:eastAsia="宋体" w:cs="宋体"/>
                <w:kern w:val="0"/>
                <w:sz w:val="18"/>
                <w:szCs w:val="18"/>
                <w:lang w:val="zh-TW"/>
              </w:rPr>
              <w:t>开通费</w:t>
            </w:r>
          </w:p>
        </w:tc>
        <w:tc>
          <w:tcPr>
            <w:tcW w:w="1860" w:type="dxa"/>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lang w:val="zh-TW"/>
              </w:rPr>
              <w:t>技术</w:t>
            </w:r>
            <w:r>
              <w:rPr>
                <w:rFonts w:hint="eastAsia" w:ascii="宋体" w:hAnsi="宋体" w:eastAsia="宋体" w:cs="宋体"/>
                <w:kern w:val="0"/>
                <w:sz w:val="18"/>
                <w:szCs w:val="18"/>
                <w:lang w:val="zh-TW" w:eastAsia="zh-TW"/>
              </w:rPr>
              <w:t>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68" w:type="dxa"/>
            <w:vMerge w:val="restart"/>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lang w:val="zh-TW" w:eastAsia="zh-TW"/>
              </w:rPr>
              <w:sym w:font="Wingdings 2" w:char="00A3"/>
            </w:r>
            <w:r>
              <w:rPr>
                <w:rFonts w:hint="eastAsia" w:ascii="宋体" w:hAnsi="宋体" w:eastAsia="宋体" w:cs="宋体"/>
                <w:kern w:val="0"/>
                <w:sz w:val="18"/>
                <w:szCs w:val="18"/>
                <w:lang w:val="zh-TW" w:eastAsia="zh-TW"/>
              </w:rPr>
              <w:t>扫码</w:t>
            </w:r>
            <w:r>
              <w:rPr>
                <w:rFonts w:hint="eastAsia" w:ascii="宋体" w:hAnsi="宋体" w:eastAsia="宋体" w:cs="宋体"/>
                <w:kern w:val="0"/>
                <w:sz w:val="18"/>
                <w:szCs w:val="18"/>
              </w:rPr>
              <w:t>W</w:t>
            </w:r>
          </w:p>
        </w:tc>
        <w:tc>
          <w:tcPr>
            <w:tcW w:w="2663" w:type="dxa"/>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rPr>
              <w:t>主扫</w:t>
            </w:r>
            <w:r>
              <w:rPr>
                <w:rFonts w:hint="eastAsia" w:ascii="宋体" w:hAnsi="宋体" w:eastAsia="宋体" w:cs="宋体"/>
                <w:kern w:val="0"/>
                <w:sz w:val="18"/>
                <w:szCs w:val="18"/>
                <w:lang w:val="zh-TW" w:eastAsia="zh-TW"/>
              </w:rPr>
              <w:t>______</w:t>
            </w:r>
            <w:r>
              <w:rPr>
                <w:rFonts w:ascii="宋体" w:hAnsi="宋体" w:eastAsia="宋体" w:cs="宋体"/>
                <w:kern w:val="0"/>
                <w:sz w:val="18"/>
                <w:szCs w:val="18"/>
                <w:lang w:val="zh-TW" w:eastAsia="zh-TW"/>
              </w:rPr>
              <w:t>%</w:t>
            </w:r>
          </w:p>
        </w:tc>
        <w:tc>
          <w:tcPr>
            <w:tcW w:w="1507" w:type="dxa"/>
            <w:vMerge w:val="restart"/>
            <w:vAlign w:val="center"/>
          </w:tcPr>
          <w:p>
            <w:pPr>
              <w:pStyle w:val="10"/>
              <w:tabs>
                <w:tab w:val="left" w:pos="4320"/>
                <w:tab w:val="left" w:pos="7200"/>
              </w:tabs>
              <w:spacing w:line="360" w:lineRule="auto"/>
              <w:jc w:val="center"/>
              <w:rPr>
                <w:rFonts w:ascii="宋体" w:hAnsi="宋体" w:eastAsia="宋体" w:cs="宋体"/>
                <w:kern w:val="0"/>
                <w:sz w:val="18"/>
                <w:szCs w:val="18"/>
              </w:rPr>
            </w:pPr>
            <w:r>
              <w:rPr>
                <w:rFonts w:hint="eastAsia" w:ascii="宋体" w:hAnsi="宋体" w:cs="宋体"/>
                <w:kern w:val="0"/>
                <w:position w:val="-1"/>
                <w:sz w:val="18"/>
                <w:szCs w:val="18"/>
              </w:rPr>
              <w:t>T+1</w:t>
            </w:r>
          </w:p>
        </w:tc>
        <w:tc>
          <w:tcPr>
            <w:tcW w:w="1610" w:type="dxa"/>
            <w:vMerge w:val="restart"/>
            <w:vAlign w:val="center"/>
          </w:tcPr>
          <w:p>
            <w:pPr>
              <w:pStyle w:val="10"/>
              <w:tabs>
                <w:tab w:val="left" w:pos="4320"/>
                <w:tab w:val="left" w:pos="7200"/>
              </w:tabs>
              <w:spacing w:line="360" w:lineRule="auto"/>
              <w:rPr>
                <w:rFonts w:ascii="宋体" w:hAnsi="宋体" w:eastAsia="宋体" w:cs="宋体"/>
                <w:kern w:val="0"/>
                <w:sz w:val="18"/>
                <w:szCs w:val="18"/>
              </w:rPr>
            </w:pPr>
          </w:p>
        </w:tc>
        <w:tc>
          <w:tcPr>
            <w:tcW w:w="1860" w:type="dxa"/>
            <w:vMerge w:val="restart"/>
            <w:vAlign w:val="center"/>
          </w:tcPr>
          <w:p>
            <w:pPr>
              <w:pStyle w:val="10"/>
              <w:tabs>
                <w:tab w:val="left" w:pos="4320"/>
                <w:tab w:val="left" w:pos="7200"/>
              </w:tabs>
              <w:spacing w:line="360" w:lineRule="auto"/>
              <w:jc w:val="center"/>
              <w:rPr>
                <w:rFonts w:ascii="宋体" w:hAnsi="宋体" w:eastAsia="宋体" w:cs="宋体"/>
                <w:kern w:val="0"/>
                <w:sz w:val="18"/>
                <w:szCs w:val="18"/>
              </w:rPr>
            </w:pP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68"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c>
          <w:tcPr>
            <w:tcW w:w="2663" w:type="dxa"/>
            <w:vAlign w:val="center"/>
          </w:tcPr>
          <w:p>
            <w:pPr>
              <w:pStyle w:val="10"/>
              <w:tabs>
                <w:tab w:val="left" w:pos="4320"/>
                <w:tab w:val="left" w:pos="7200"/>
              </w:tabs>
              <w:spacing w:line="360" w:lineRule="auto"/>
              <w:jc w:val="center"/>
              <w:rPr>
                <w:rFonts w:ascii="宋体" w:hAnsi="宋体" w:eastAsia="宋体" w:cs="宋体"/>
                <w:kern w:val="0"/>
                <w:sz w:val="18"/>
                <w:szCs w:val="18"/>
              </w:rPr>
            </w:pPr>
            <w:r>
              <w:rPr>
                <w:rFonts w:hint="eastAsia" w:ascii="宋体" w:hAnsi="宋体" w:eastAsia="宋体" w:cs="宋体"/>
                <w:kern w:val="0"/>
                <w:sz w:val="18"/>
                <w:szCs w:val="18"/>
              </w:rPr>
              <w:t>被扫</w:t>
            </w:r>
            <w:r>
              <w:rPr>
                <w:rFonts w:hint="eastAsia" w:ascii="宋体" w:hAnsi="宋体" w:eastAsia="宋体" w:cs="宋体"/>
                <w:kern w:val="0"/>
                <w:sz w:val="18"/>
                <w:szCs w:val="18"/>
                <w:lang w:val="zh-TW" w:eastAsia="zh-TW"/>
              </w:rPr>
              <w:t>______</w:t>
            </w:r>
            <w:r>
              <w:rPr>
                <w:rFonts w:ascii="宋体" w:hAnsi="宋体" w:eastAsia="宋体" w:cs="宋体"/>
                <w:kern w:val="0"/>
                <w:sz w:val="18"/>
                <w:szCs w:val="18"/>
                <w:lang w:val="zh-TW" w:eastAsia="zh-TW"/>
              </w:rPr>
              <w:t>%</w:t>
            </w:r>
          </w:p>
        </w:tc>
        <w:tc>
          <w:tcPr>
            <w:tcW w:w="1507"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rPr>
            </w:pPr>
          </w:p>
        </w:tc>
        <w:tc>
          <w:tcPr>
            <w:tcW w:w="161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c>
          <w:tcPr>
            <w:tcW w:w="186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68" w:type="dxa"/>
            <w:vMerge w:val="restart"/>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lang w:val="zh-TW" w:eastAsia="zh-TW"/>
              </w:rPr>
              <w:sym w:font="Wingdings 2" w:char="00A3"/>
            </w:r>
            <w:r>
              <w:rPr>
                <w:rFonts w:hint="eastAsia" w:ascii="宋体" w:hAnsi="宋体" w:eastAsia="宋体" w:cs="宋体"/>
                <w:kern w:val="0"/>
                <w:sz w:val="18"/>
                <w:szCs w:val="18"/>
                <w:lang w:val="zh-TW" w:eastAsia="zh-TW"/>
              </w:rPr>
              <w:t>扫码</w:t>
            </w:r>
            <w:r>
              <w:rPr>
                <w:rFonts w:hint="eastAsia" w:ascii="宋体" w:hAnsi="宋体" w:eastAsia="宋体" w:cs="宋体"/>
                <w:kern w:val="0"/>
                <w:sz w:val="18"/>
                <w:szCs w:val="18"/>
              </w:rPr>
              <w:t>Z</w:t>
            </w:r>
          </w:p>
        </w:tc>
        <w:tc>
          <w:tcPr>
            <w:tcW w:w="2663" w:type="dxa"/>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rPr>
              <w:t>主扫</w:t>
            </w:r>
            <w:r>
              <w:rPr>
                <w:rFonts w:hint="eastAsia" w:ascii="宋体" w:hAnsi="宋体" w:eastAsia="宋体" w:cs="宋体"/>
                <w:kern w:val="0"/>
                <w:sz w:val="18"/>
                <w:szCs w:val="18"/>
                <w:lang w:val="zh-TW" w:eastAsia="zh-TW"/>
              </w:rPr>
              <w:t>______%</w:t>
            </w:r>
          </w:p>
        </w:tc>
        <w:tc>
          <w:tcPr>
            <w:tcW w:w="1507" w:type="dxa"/>
            <w:vMerge w:val="restart"/>
            <w:vAlign w:val="center"/>
          </w:tcPr>
          <w:p>
            <w:pPr>
              <w:pStyle w:val="10"/>
              <w:tabs>
                <w:tab w:val="left" w:pos="4320"/>
                <w:tab w:val="left" w:pos="7200"/>
              </w:tabs>
              <w:spacing w:line="360" w:lineRule="auto"/>
              <w:jc w:val="center"/>
              <w:rPr>
                <w:rFonts w:ascii="宋体" w:hAnsi="宋体" w:eastAsia="宋体" w:cs="宋体"/>
                <w:kern w:val="0"/>
                <w:sz w:val="18"/>
                <w:szCs w:val="18"/>
              </w:rPr>
            </w:pPr>
            <w:r>
              <w:rPr>
                <w:rFonts w:hint="eastAsia" w:ascii="宋体" w:hAnsi="宋体" w:cs="宋体"/>
                <w:kern w:val="0"/>
                <w:position w:val="-1"/>
                <w:sz w:val="18"/>
                <w:szCs w:val="18"/>
              </w:rPr>
              <w:t>T+1</w:t>
            </w:r>
          </w:p>
        </w:tc>
        <w:tc>
          <w:tcPr>
            <w:tcW w:w="161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c>
          <w:tcPr>
            <w:tcW w:w="186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868"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c>
          <w:tcPr>
            <w:tcW w:w="2663" w:type="dxa"/>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rPr>
              <w:t>被扫</w:t>
            </w:r>
            <w:r>
              <w:rPr>
                <w:rFonts w:hint="eastAsia" w:ascii="宋体" w:hAnsi="宋体" w:eastAsia="宋体" w:cs="宋体"/>
                <w:kern w:val="0"/>
                <w:sz w:val="18"/>
                <w:szCs w:val="18"/>
                <w:lang w:val="zh-TW" w:eastAsia="zh-TW"/>
              </w:rPr>
              <w:t>______%</w:t>
            </w:r>
          </w:p>
        </w:tc>
        <w:tc>
          <w:tcPr>
            <w:tcW w:w="1507"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rPr>
            </w:pPr>
          </w:p>
        </w:tc>
        <w:tc>
          <w:tcPr>
            <w:tcW w:w="161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c>
          <w:tcPr>
            <w:tcW w:w="186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868" w:type="dxa"/>
            <w:vMerge w:val="restart"/>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lang w:val="zh-TW" w:eastAsia="zh-TW"/>
              </w:rPr>
              <w:sym w:font="Wingdings 2" w:char="00A3"/>
            </w:r>
            <w:r>
              <w:rPr>
                <w:rFonts w:hint="eastAsia" w:ascii="宋体" w:hAnsi="宋体" w:eastAsia="宋体" w:cs="宋体"/>
                <w:kern w:val="0"/>
                <w:sz w:val="18"/>
                <w:szCs w:val="18"/>
              </w:rPr>
              <w:t>银联扫码</w:t>
            </w:r>
          </w:p>
        </w:tc>
        <w:tc>
          <w:tcPr>
            <w:tcW w:w="2663" w:type="dxa"/>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lang w:val="zh-TW" w:eastAsia="zh-TW"/>
              </w:rPr>
              <w:t>交易金额</w:t>
            </w:r>
            <w:r>
              <w:rPr>
                <w:rFonts w:hint="eastAsia" w:ascii="宋体" w:hAnsi="宋体" w:eastAsia="宋体" w:cs="宋体"/>
                <w:kern w:val="0"/>
                <w:sz w:val="18"/>
                <w:szCs w:val="18"/>
                <w:lang w:val="zh-TW"/>
              </w:rPr>
              <w:t>1000元以下</w:t>
            </w:r>
            <w:r>
              <w:rPr>
                <w:rFonts w:hint="eastAsia" w:ascii="宋体" w:hAnsi="宋体" w:eastAsia="宋体" w:cs="宋体"/>
                <w:kern w:val="0"/>
                <w:sz w:val="18"/>
                <w:szCs w:val="18"/>
                <w:lang w:val="zh-TW" w:eastAsia="zh-TW"/>
              </w:rPr>
              <w:t>_____%</w:t>
            </w:r>
          </w:p>
        </w:tc>
        <w:tc>
          <w:tcPr>
            <w:tcW w:w="1507" w:type="dxa"/>
            <w:vAlign w:val="center"/>
          </w:tcPr>
          <w:p>
            <w:pPr>
              <w:pStyle w:val="10"/>
              <w:tabs>
                <w:tab w:val="left" w:pos="4320"/>
                <w:tab w:val="left" w:pos="7200"/>
              </w:tabs>
              <w:spacing w:line="360" w:lineRule="auto"/>
              <w:jc w:val="center"/>
              <w:rPr>
                <w:rFonts w:ascii="宋体" w:hAnsi="宋体" w:eastAsia="宋体" w:cs="宋体"/>
                <w:kern w:val="0"/>
                <w:sz w:val="18"/>
                <w:szCs w:val="18"/>
              </w:rPr>
            </w:pPr>
            <w:r>
              <w:rPr>
                <w:rFonts w:hint="eastAsia" w:ascii="宋体" w:hAnsi="宋体" w:cs="宋体"/>
                <w:kern w:val="0"/>
                <w:position w:val="-1"/>
                <w:sz w:val="18"/>
                <w:szCs w:val="18"/>
              </w:rPr>
              <w:t>T+1</w:t>
            </w:r>
          </w:p>
        </w:tc>
        <w:tc>
          <w:tcPr>
            <w:tcW w:w="161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c>
          <w:tcPr>
            <w:tcW w:w="186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868"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c>
          <w:tcPr>
            <w:tcW w:w="2663" w:type="dxa"/>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lang w:val="zh-TW" w:eastAsia="zh-TW"/>
              </w:rPr>
              <w:t>交易金额</w:t>
            </w:r>
            <w:r>
              <w:rPr>
                <w:rFonts w:hint="eastAsia" w:ascii="宋体" w:hAnsi="宋体" w:eastAsia="宋体" w:cs="宋体"/>
                <w:kern w:val="0"/>
                <w:sz w:val="18"/>
                <w:szCs w:val="18"/>
                <w:lang w:val="zh-TW"/>
              </w:rPr>
              <w:t>1000元以上</w:t>
            </w:r>
            <w:r>
              <w:rPr>
                <w:rFonts w:hint="eastAsia" w:ascii="宋体" w:hAnsi="宋体" w:eastAsia="宋体" w:cs="宋体"/>
                <w:kern w:val="0"/>
                <w:sz w:val="18"/>
                <w:szCs w:val="18"/>
                <w:lang w:val="zh-TW" w:eastAsia="zh-TW"/>
              </w:rPr>
              <w:t>_____%</w:t>
            </w:r>
          </w:p>
        </w:tc>
        <w:tc>
          <w:tcPr>
            <w:tcW w:w="1507" w:type="dxa"/>
            <w:vAlign w:val="center"/>
          </w:tcPr>
          <w:p>
            <w:pPr>
              <w:pStyle w:val="10"/>
              <w:tabs>
                <w:tab w:val="left" w:pos="4320"/>
                <w:tab w:val="left" w:pos="7200"/>
              </w:tabs>
              <w:spacing w:line="360" w:lineRule="auto"/>
              <w:jc w:val="center"/>
              <w:rPr>
                <w:rFonts w:ascii="宋体" w:hAnsi="宋体" w:eastAsia="宋体" w:cs="宋体"/>
                <w:kern w:val="0"/>
                <w:sz w:val="18"/>
                <w:szCs w:val="18"/>
              </w:rPr>
            </w:pPr>
            <w:r>
              <w:rPr>
                <w:rFonts w:hint="eastAsia" w:ascii="宋体" w:hAnsi="宋体" w:cs="宋体"/>
                <w:kern w:val="0"/>
                <w:position w:val="-1"/>
                <w:sz w:val="18"/>
                <w:szCs w:val="18"/>
              </w:rPr>
              <w:t>T+1</w:t>
            </w:r>
          </w:p>
        </w:tc>
        <w:tc>
          <w:tcPr>
            <w:tcW w:w="161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c>
          <w:tcPr>
            <w:tcW w:w="186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68" w:type="dxa"/>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lang w:val="zh-TW" w:eastAsia="zh-TW"/>
              </w:rPr>
              <w:sym w:font="Wingdings 2" w:char="00A3"/>
            </w:r>
            <w:r>
              <w:rPr>
                <w:rFonts w:hint="eastAsia" w:ascii="宋体" w:hAnsi="宋体" w:eastAsia="宋体" w:cs="宋体"/>
                <w:kern w:val="0"/>
                <w:sz w:val="18"/>
                <w:szCs w:val="18"/>
              </w:rPr>
              <w:t>云闪付</w:t>
            </w:r>
          </w:p>
        </w:tc>
        <w:tc>
          <w:tcPr>
            <w:tcW w:w="2663" w:type="dxa"/>
            <w:vAlign w:val="center"/>
          </w:tcPr>
          <w:p>
            <w:pPr>
              <w:pStyle w:val="10"/>
              <w:tabs>
                <w:tab w:val="left" w:pos="4320"/>
                <w:tab w:val="left" w:pos="7200"/>
              </w:tabs>
              <w:spacing w:line="360" w:lineRule="auto"/>
              <w:jc w:val="center"/>
              <w:rPr>
                <w:rFonts w:ascii="宋体" w:hAnsi="宋体" w:eastAsia="PMingLiU" w:cs="宋体"/>
                <w:kern w:val="0"/>
                <w:sz w:val="18"/>
                <w:szCs w:val="18"/>
                <w:lang w:val="zh-TW" w:eastAsia="zh-TW"/>
              </w:rPr>
            </w:pPr>
            <w:r>
              <w:rPr>
                <w:rFonts w:hint="eastAsia" w:ascii="宋体" w:hAnsi="宋体" w:eastAsia="宋体" w:cs="宋体"/>
                <w:kern w:val="0"/>
                <w:sz w:val="18"/>
                <w:szCs w:val="18"/>
                <w:lang w:val="zh-TW" w:eastAsia="zh-TW"/>
              </w:rPr>
              <w:t>交易金额</w:t>
            </w:r>
            <w:r>
              <w:rPr>
                <w:rFonts w:hint="eastAsia" w:ascii="宋体" w:hAnsi="宋体" w:eastAsia="宋体" w:cs="宋体"/>
                <w:kern w:val="0"/>
                <w:sz w:val="18"/>
                <w:szCs w:val="18"/>
                <w:lang w:val="zh-TW"/>
              </w:rPr>
              <w:t>1000元以下</w:t>
            </w:r>
            <w:r>
              <w:rPr>
                <w:rFonts w:hint="eastAsia" w:ascii="宋体" w:hAnsi="宋体" w:eastAsia="宋体" w:cs="宋体"/>
                <w:kern w:val="0"/>
                <w:sz w:val="18"/>
                <w:szCs w:val="18"/>
                <w:lang w:val="zh-TW" w:eastAsia="zh-TW"/>
              </w:rPr>
              <w:t>_____%</w:t>
            </w:r>
          </w:p>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lang w:val="zh-TW" w:eastAsia="zh-TW"/>
              </w:rPr>
              <w:t>交易金额</w:t>
            </w:r>
            <w:r>
              <w:rPr>
                <w:rFonts w:hint="eastAsia" w:ascii="宋体" w:hAnsi="宋体" w:eastAsia="宋体" w:cs="宋体"/>
                <w:kern w:val="0"/>
                <w:sz w:val="18"/>
                <w:szCs w:val="18"/>
                <w:lang w:val="zh-TW"/>
              </w:rPr>
              <w:t>1000元以上</w:t>
            </w:r>
            <w:r>
              <w:rPr>
                <w:rFonts w:hint="eastAsia" w:ascii="宋体" w:hAnsi="宋体" w:eastAsia="宋体" w:cs="宋体"/>
                <w:kern w:val="0"/>
                <w:sz w:val="18"/>
                <w:szCs w:val="18"/>
                <w:lang w:val="zh-TW" w:eastAsia="zh-TW"/>
              </w:rPr>
              <w:t>_____%</w:t>
            </w:r>
          </w:p>
        </w:tc>
        <w:tc>
          <w:tcPr>
            <w:tcW w:w="1507" w:type="dxa"/>
            <w:vAlign w:val="center"/>
          </w:tcPr>
          <w:p>
            <w:pPr>
              <w:pStyle w:val="10"/>
              <w:tabs>
                <w:tab w:val="left" w:pos="4320"/>
                <w:tab w:val="left" w:pos="7200"/>
              </w:tabs>
              <w:spacing w:line="360" w:lineRule="auto"/>
              <w:jc w:val="center"/>
              <w:rPr>
                <w:rFonts w:ascii="宋体" w:hAnsi="宋体" w:eastAsia="宋体" w:cs="宋体"/>
                <w:kern w:val="0"/>
                <w:sz w:val="18"/>
                <w:szCs w:val="18"/>
              </w:rPr>
            </w:pPr>
            <w:r>
              <w:rPr>
                <w:rFonts w:hint="eastAsia" w:ascii="宋体" w:hAnsi="宋体" w:cs="宋体"/>
                <w:kern w:val="0"/>
                <w:position w:val="-1"/>
                <w:sz w:val="18"/>
                <w:szCs w:val="18"/>
              </w:rPr>
              <w:t>T+1</w:t>
            </w:r>
          </w:p>
        </w:tc>
        <w:tc>
          <w:tcPr>
            <w:tcW w:w="161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c>
          <w:tcPr>
            <w:tcW w:w="186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68" w:type="dxa"/>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lang w:val="zh-TW" w:eastAsia="zh-TW"/>
              </w:rPr>
              <w:t>□</w:t>
            </w:r>
            <w:r>
              <w:rPr>
                <w:rFonts w:hint="eastAsia" w:ascii="宋体" w:hAnsi="宋体" w:eastAsia="宋体" w:cs="宋体"/>
                <w:kern w:val="0"/>
                <w:sz w:val="18"/>
                <w:szCs w:val="18"/>
              </w:rPr>
              <w:t>结算手续费</w:t>
            </w:r>
          </w:p>
        </w:tc>
        <w:tc>
          <w:tcPr>
            <w:tcW w:w="2663" w:type="dxa"/>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r>
              <w:rPr>
                <w:rFonts w:hint="eastAsia" w:ascii="宋体" w:hAnsi="宋体" w:eastAsia="宋体" w:cs="宋体"/>
                <w:kern w:val="0"/>
                <w:sz w:val="18"/>
                <w:szCs w:val="18"/>
                <w:lang w:val="zh-TW" w:eastAsia="zh-TW"/>
              </w:rPr>
              <w:t>______</w:t>
            </w:r>
            <w:r>
              <w:rPr>
                <w:rFonts w:hint="eastAsia" w:ascii="宋体" w:hAnsi="宋体" w:eastAsia="宋体" w:cs="宋体"/>
                <w:kern w:val="0"/>
                <w:sz w:val="18"/>
                <w:szCs w:val="18"/>
              </w:rPr>
              <w:t>元/笔</w:t>
            </w:r>
          </w:p>
        </w:tc>
        <w:tc>
          <w:tcPr>
            <w:tcW w:w="1507" w:type="dxa"/>
            <w:vAlign w:val="center"/>
          </w:tcPr>
          <w:p>
            <w:pPr>
              <w:pStyle w:val="10"/>
              <w:tabs>
                <w:tab w:val="left" w:pos="4320"/>
                <w:tab w:val="left" w:pos="7200"/>
              </w:tabs>
              <w:spacing w:line="360" w:lineRule="auto"/>
              <w:jc w:val="center"/>
              <w:rPr>
                <w:rFonts w:ascii="宋体" w:hAnsi="宋体" w:eastAsia="宋体" w:cs="宋体"/>
                <w:kern w:val="0"/>
                <w:sz w:val="18"/>
                <w:szCs w:val="18"/>
              </w:rPr>
            </w:pPr>
          </w:p>
        </w:tc>
        <w:tc>
          <w:tcPr>
            <w:tcW w:w="161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c>
          <w:tcPr>
            <w:tcW w:w="1860" w:type="dxa"/>
            <w:vMerge w:val="continue"/>
            <w:vAlign w:val="center"/>
          </w:tcPr>
          <w:p>
            <w:pPr>
              <w:pStyle w:val="10"/>
              <w:tabs>
                <w:tab w:val="left" w:pos="4320"/>
                <w:tab w:val="left" w:pos="7200"/>
              </w:tabs>
              <w:spacing w:line="360" w:lineRule="auto"/>
              <w:jc w:val="center"/>
              <w:rPr>
                <w:rFonts w:ascii="宋体" w:hAnsi="宋体" w:eastAsia="宋体" w:cs="宋体"/>
                <w:kern w:val="0"/>
                <w:sz w:val="18"/>
                <w:szCs w:val="18"/>
                <w:lang w:val="zh-TW" w:eastAsia="zh-TW"/>
              </w:rPr>
            </w:pPr>
          </w:p>
        </w:tc>
      </w:tr>
    </w:tbl>
    <w:p>
      <w:pPr>
        <w:spacing w:line="360" w:lineRule="auto"/>
        <w:jc w:val="left"/>
        <w:rPr>
          <w:sz w:val="18"/>
          <w:szCs w:val="18"/>
        </w:rPr>
      </w:pPr>
    </w:p>
    <w:p>
      <w:pPr>
        <w:spacing w:line="360" w:lineRule="auto"/>
        <w:ind w:left="360"/>
        <w:jc w:val="left"/>
        <w:rPr>
          <w:rFonts w:hint="eastAsia" w:ascii="宋体" w:hAnsi="宋体" w:eastAsia="宋体" w:cs="宋体"/>
        </w:rPr>
      </w:pPr>
      <w:r>
        <w:rPr>
          <w:rFonts w:hint="eastAsia" w:ascii="宋体" w:hAnsi="宋体" w:eastAsia="宋体" w:cs="宋体"/>
        </w:rPr>
        <w:t>2.1.3 POS机具资费</w:t>
      </w:r>
    </w:p>
    <w:p>
      <w:pPr>
        <w:spacing w:line="360" w:lineRule="auto"/>
        <w:ind w:left="360"/>
        <w:jc w:val="left"/>
        <w:rPr>
          <w:rFonts w:hint="eastAsia" w:ascii="宋体" w:hAnsi="宋体" w:eastAsia="宋体" w:cs="宋体"/>
        </w:rPr>
      </w:pPr>
      <w:r>
        <w:rPr>
          <w:rFonts w:hint="eastAsia" w:ascii="宋体" w:hAnsi="宋体" w:eastAsia="宋体" w:cs="宋体"/>
        </w:rPr>
        <w:tab/>
      </w:r>
      <w:r>
        <w:rPr>
          <w:rFonts w:hint="eastAsia" w:ascii="宋体" w:hAnsi="宋体" w:eastAsia="宋体" w:cs="宋体"/>
        </w:rPr>
        <w:t>2.1.3.1购买机具资费</w:t>
      </w:r>
    </w:p>
    <w:tbl>
      <w:tblPr>
        <w:tblStyle w:val="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235"/>
        <w:gridCol w:w="1233"/>
        <w:gridCol w:w="2039"/>
        <w:gridCol w:w="2056"/>
        <w:gridCol w:w="109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序号</w:t>
            </w: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设备类型</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设备型号</w:t>
            </w:r>
          </w:p>
        </w:tc>
        <w:tc>
          <w:tcPr>
            <w:tcW w:w="2039" w:type="dxa"/>
            <w:tcBorders>
              <w:top w:val="single" w:color="auto" w:sz="4" w:space="0"/>
              <w:left w:val="single" w:color="auto" w:sz="4" w:space="0"/>
              <w:bottom w:val="single" w:color="auto" w:sz="4" w:space="0"/>
              <w:right w:val="single" w:color="auto" w:sz="4" w:space="0"/>
            </w:tcBorders>
            <w:vAlign w:val="center"/>
          </w:tcPr>
          <w:p>
            <w:pPr>
              <w:spacing w:line="360" w:lineRule="auto"/>
              <w:ind w:left="-39" w:leftChars="-20" w:right="-94" w:rightChars="-45" w:hanging="3" w:hangingChars="2"/>
              <w:jc w:val="center"/>
              <w:rPr>
                <w:rFonts w:ascii="宋体" w:hAnsi="宋体"/>
                <w:sz w:val="18"/>
                <w:szCs w:val="18"/>
              </w:rPr>
            </w:pPr>
            <w:r>
              <w:rPr>
                <w:rFonts w:hint="eastAsia" w:ascii="宋体" w:hAnsi="宋体"/>
                <w:sz w:val="18"/>
                <w:szCs w:val="18"/>
              </w:rPr>
              <w:t>产品配置</w:t>
            </w:r>
          </w:p>
        </w:tc>
        <w:tc>
          <w:tcPr>
            <w:tcW w:w="2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设备单价（元/台）</w:t>
            </w:r>
          </w:p>
        </w:tc>
        <w:tc>
          <w:tcPr>
            <w:tcW w:w="10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购买数量</w:t>
            </w:r>
          </w:p>
        </w:tc>
        <w:tc>
          <w:tcPr>
            <w:tcW w:w="10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1</w:t>
            </w: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扫码类</w:t>
            </w:r>
            <w:r>
              <w:rPr>
                <w:rFonts w:ascii="宋体" w:hAnsi="宋体"/>
                <w:sz w:val="18"/>
                <w:szCs w:val="18"/>
              </w:rPr>
              <w:t>POS</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电子立牌/G</w:t>
            </w:r>
          </w:p>
        </w:tc>
        <w:tc>
          <w:tcPr>
            <w:tcW w:w="2039" w:type="dxa"/>
            <w:tcBorders>
              <w:top w:val="single" w:color="auto" w:sz="4" w:space="0"/>
              <w:left w:val="single" w:color="auto" w:sz="4" w:space="0"/>
              <w:bottom w:val="single" w:color="auto" w:sz="4" w:space="0"/>
              <w:right w:val="single" w:color="auto" w:sz="4" w:space="0"/>
            </w:tcBorders>
          </w:tcPr>
          <w:p>
            <w:pPr>
              <w:spacing w:line="360" w:lineRule="auto"/>
              <w:ind w:right="-124" w:rightChars="-59"/>
              <w:rPr>
                <w:rFonts w:ascii="宋体" w:hAnsi="宋体"/>
                <w:sz w:val="18"/>
                <w:szCs w:val="18"/>
              </w:rPr>
            </w:pPr>
            <w:r>
              <w:rPr>
                <w:rFonts w:hint="eastAsia" w:ascii="宋体" w:hAnsi="宋体"/>
                <w:sz w:val="18"/>
                <w:szCs w:val="18"/>
              </w:rPr>
              <w:t>GPRS模块、显示二维码、彩屏、非接模块</w:t>
            </w:r>
          </w:p>
        </w:tc>
        <w:tc>
          <w:tcPr>
            <w:tcW w:w="2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________.00</w:t>
            </w:r>
          </w:p>
        </w:tc>
        <w:tc>
          <w:tcPr>
            <w:tcW w:w="10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18"/>
                <w:szCs w:val="18"/>
                <w:u w:val="single"/>
              </w:rPr>
            </w:pPr>
            <w:r>
              <w:rPr>
                <w:rFonts w:ascii="宋体" w:hAnsi="宋体"/>
                <w:sz w:val="18"/>
                <w:szCs w:val="18"/>
                <w:u w:val="single"/>
              </w:rPr>
              <w:t xml:space="preserve">     </w:t>
            </w:r>
            <w:r>
              <w:rPr>
                <w:rFonts w:hint="eastAsia" w:ascii="宋体" w:hAnsi="宋体"/>
                <w:sz w:val="18"/>
                <w:szCs w:val="18"/>
                <w:u w:val="single"/>
              </w:rPr>
              <w:t xml:space="preserve"> 台</w:t>
            </w:r>
          </w:p>
        </w:tc>
        <w:tc>
          <w:tcPr>
            <w:tcW w:w="10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2</w:t>
            </w: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扫码类</w:t>
            </w:r>
            <w:r>
              <w:rPr>
                <w:rFonts w:ascii="宋体" w:hAnsi="宋体"/>
                <w:sz w:val="18"/>
                <w:szCs w:val="18"/>
              </w:rPr>
              <w:t>POS</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电子立牌/G/WL</w:t>
            </w:r>
          </w:p>
        </w:tc>
        <w:tc>
          <w:tcPr>
            <w:tcW w:w="2039" w:type="dxa"/>
            <w:tcBorders>
              <w:top w:val="single" w:color="auto" w:sz="4" w:space="0"/>
              <w:left w:val="single" w:color="auto" w:sz="4" w:space="0"/>
              <w:bottom w:val="single" w:color="auto" w:sz="4" w:space="0"/>
              <w:right w:val="single" w:color="auto" w:sz="4" w:space="0"/>
            </w:tcBorders>
          </w:tcPr>
          <w:p>
            <w:pPr>
              <w:spacing w:line="360" w:lineRule="auto"/>
              <w:ind w:right="-107" w:rightChars="-51"/>
              <w:rPr>
                <w:rFonts w:ascii="宋体" w:hAnsi="宋体"/>
                <w:sz w:val="18"/>
                <w:szCs w:val="18"/>
              </w:rPr>
            </w:pPr>
            <w:r>
              <w:rPr>
                <w:rFonts w:hint="eastAsia" w:ascii="宋体" w:hAnsi="宋体"/>
                <w:sz w:val="18"/>
                <w:szCs w:val="18"/>
              </w:rPr>
              <w:t>GPRS模块、WIFI模块、显示二维码、彩屏、非接模块</w:t>
            </w:r>
          </w:p>
        </w:tc>
        <w:tc>
          <w:tcPr>
            <w:tcW w:w="2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ascii="宋体" w:hAnsi="宋体"/>
                <w:sz w:val="18"/>
                <w:szCs w:val="18"/>
              </w:rPr>
              <w:t>______</w:t>
            </w:r>
            <w:r>
              <w:rPr>
                <w:rFonts w:hint="eastAsia" w:ascii="宋体" w:hAnsi="宋体"/>
                <w:sz w:val="18"/>
                <w:szCs w:val="18"/>
              </w:rPr>
              <w:t>.00</w:t>
            </w:r>
          </w:p>
        </w:tc>
        <w:tc>
          <w:tcPr>
            <w:tcW w:w="10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18"/>
                <w:szCs w:val="18"/>
                <w:u w:val="single"/>
              </w:rPr>
            </w:pPr>
            <w:r>
              <w:rPr>
                <w:rFonts w:ascii="宋体" w:hAnsi="宋体"/>
                <w:sz w:val="18"/>
                <w:szCs w:val="18"/>
                <w:u w:val="single"/>
              </w:rPr>
              <w:t xml:space="preserve">     </w:t>
            </w:r>
            <w:r>
              <w:rPr>
                <w:rFonts w:hint="eastAsia" w:ascii="宋体" w:hAnsi="宋体"/>
                <w:sz w:val="18"/>
                <w:szCs w:val="18"/>
                <w:u w:val="single"/>
              </w:rPr>
              <w:t xml:space="preserve"> 台</w:t>
            </w:r>
          </w:p>
        </w:tc>
        <w:tc>
          <w:tcPr>
            <w:tcW w:w="10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一年</w:t>
            </w:r>
          </w:p>
        </w:tc>
      </w:tr>
    </w:tbl>
    <w:p>
      <w:pPr>
        <w:spacing w:line="360" w:lineRule="auto"/>
        <w:ind w:left="360"/>
        <w:jc w:val="left"/>
        <w:rPr>
          <w:sz w:val="18"/>
          <w:szCs w:val="18"/>
        </w:rPr>
      </w:pPr>
      <w:r>
        <w:rPr>
          <w:rFonts w:hint="eastAsia" w:ascii="宋体" w:hAnsi="宋体"/>
          <w:sz w:val="18"/>
          <w:szCs w:val="18"/>
        </w:rPr>
        <w:t>备注：扫码机具功能：支持微信、支付宝、银联二维码、NFC非接交易，需2台起订。</w:t>
      </w:r>
    </w:p>
    <w:p>
      <w:pPr>
        <w:spacing w:line="360" w:lineRule="auto"/>
        <w:ind w:left="360"/>
        <w:jc w:val="left"/>
        <w:rPr>
          <w:rFonts w:hint="eastAsia" w:ascii="宋体" w:hAnsi="宋体" w:eastAsia="宋体" w:cs="宋体"/>
          <w:sz w:val="21"/>
          <w:szCs w:val="21"/>
        </w:rPr>
      </w:pPr>
      <w:r>
        <w:rPr>
          <w:rFonts w:hint="eastAsia" w:ascii="宋体" w:hAnsi="宋体" w:eastAsia="宋体" w:cs="宋体"/>
          <w:sz w:val="21"/>
          <w:szCs w:val="21"/>
        </w:rPr>
        <w:t>2.1.3.2 租用机具资费</w:t>
      </w:r>
    </w:p>
    <w:p>
      <w:pPr>
        <w:spacing w:line="360" w:lineRule="auto"/>
        <w:ind w:left="360"/>
        <w:jc w:val="left"/>
        <w:rPr>
          <w:sz w:val="18"/>
          <w:szCs w:val="18"/>
        </w:rPr>
      </w:pPr>
    </w:p>
    <w:tbl>
      <w:tblPr>
        <w:tblStyle w:val="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235"/>
        <w:gridCol w:w="1233"/>
        <w:gridCol w:w="2039"/>
        <w:gridCol w:w="2056"/>
        <w:gridCol w:w="1094"/>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序号</w:t>
            </w: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设备类型</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设备型号</w:t>
            </w:r>
          </w:p>
        </w:tc>
        <w:tc>
          <w:tcPr>
            <w:tcW w:w="2039" w:type="dxa"/>
            <w:tcBorders>
              <w:top w:val="single" w:color="auto" w:sz="4" w:space="0"/>
              <w:left w:val="single" w:color="auto" w:sz="4" w:space="0"/>
              <w:bottom w:val="single" w:color="auto" w:sz="4" w:space="0"/>
              <w:right w:val="single" w:color="auto" w:sz="4" w:space="0"/>
            </w:tcBorders>
            <w:vAlign w:val="center"/>
          </w:tcPr>
          <w:p>
            <w:pPr>
              <w:spacing w:line="360" w:lineRule="auto"/>
              <w:ind w:left="-39" w:leftChars="-20" w:right="-94" w:rightChars="-45" w:hanging="3" w:hangingChars="2"/>
              <w:jc w:val="center"/>
              <w:rPr>
                <w:rFonts w:ascii="宋体" w:hAnsi="宋体"/>
                <w:sz w:val="18"/>
                <w:szCs w:val="18"/>
              </w:rPr>
            </w:pPr>
            <w:r>
              <w:rPr>
                <w:rFonts w:hint="eastAsia" w:ascii="宋体" w:hAnsi="宋体"/>
                <w:sz w:val="18"/>
                <w:szCs w:val="18"/>
              </w:rPr>
              <w:t>产品配置</w:t>
            </w:r>
          </w:p>
        </w:tc>
        <w:tc>
          <w:tcPr>
            <w:tcW w:w="2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设备单价（元/台）</w:t>
            </w:r>
          </w:p>
        </w:tc>
        <w:tc>
          <w:tcPr>
            <w:tcW w:w="10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租用数量</w:t>
            </w:r>
          </w:p>
        </w:tc>
        <w:tc>
          <w:tcPr>
            <w:tcW w:w="15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押金（元/年）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1</w:t>
            </w: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扫码类</w:t>
            </w:r>
            <w:r>
              <w:rPr>
                <w:rFonts w:ascii="宋体" w:hAnsi="宋体"/>
                <w:sz w:val="18"/>
                <w:szCs w:val="18"/>
              </w:rPr>
              <w:t>POS</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电子立牌/G</w:t>
            </w:r>
          </w:p>
        </w:tc>
        <w:tc>
          <w:tcPr>
            <w:tcW w:w="2039" w:type="dxa"/>
            <w:tcBorders>
              <w:top w:val="single" w:color="auto" w:sz="4" w:space="0"/>
              <w:left w:val="single" w:color="auto" w:sz="4" w:space="0"/>
              <w:bottom w:val="single" w:color="auto" w:sz="4" w:space="0"/>
              <w:right w:val="single" w:color="auto" w:sz="4" w:space="0"/>
            </w:tcBorders>
          </w:tcPr>
          <w:p>
            <w:pPr>
              <w:spacing w:line="360" w:lineRule="auto"/>
              <w:ind w:right="-124" w:rightChars="-59"/>
              <w:rPr>
                <w:rFonts w:ascii="宋体" w:hAnsi="宋体"/>
                <w:sz w:val="18"/>
                <w:szCs w:val="18"/>
              </w:rPr>
            </w:pPr>
            <w:r>
              <w:rPr>
                <w:rFonts w:hint="eastAsia" w:ascii="宋体" w:hAnsi="宋体"/>
                <w:sz w:val="18"/>
                <w:szCs w:val="18"/>
              </w:rPr>
              <w:t>GPRS模块、显示二维码、彩屏、非接模块</w:t>
            </w:r>
          </w:p>
        </w:tc>
        <w:tc>
          <w:tcPr>
            <w:tcW w:w="2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________.00</w:t>
            </w:r>
          </w:p>
        </w:tc>
        <w:tc>
          <w:tcPr>
            <w:tcW w:w="10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18"/>
                <w:szCs w:val="18"/>
                <w:u w:val="single"/>
              </w:rPr>
            </w:pPr>
            <w:r>
              <w:rPr>
                <w:rFonts w:ascii="宋体" w:hAnsi="宋体"/>
                <w:sz w:val="18"/>
                <w:szCs w:val="18"/>
                <w:u w:val="single"/>
              </w:rPr>
              <w:t xml:space="preserve">     </w:t>
            </w:r>
            <w:r>
              <w:rPr>
                <w:rFonts w:hint="eastAsia" w:ascii="宋体" w:hAnsi="宋体"/>
                <w:sz w:val="18"/>
                <w:szCs w:val="18"/>
                <w:u w:val="single"/>
              </w:rPr>
              <w:t xml:space="preserve"> 台</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2</w:t>
            </w:r>
          </w:p>
        </w:tc>
        <w:tc>
          <w:tcPr>
            <w:tcW w:w="1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扫码类</w:t>
            </w:r>
            <w:r>
              <w:rPr>
                <w:rFonts w:ascii="宋体" w:hAnsi="宋体"/>
                <w:sz w:val="18"/>
                <w:szCs w:val="18"/>
              </w:rPr>
              <w:t>POS</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电子立牌/G/WL</w:t>
            </w:r>
          </w:p>
        </w:tc>
        <w:tc>
          <w:tcPr>
            <w:tcW w:w="2039" w:type="dxa"/>
            <w:tcBorders>
              <w:top w:val="single" w:color="auto" w:sz="4" w:space="0"/>
              <w:left w:val="single" w:color="auto" w:sz="4" w:space="0"/>
              <w:bottom w:val="single" w:color="auto" w:sz="4" w:space="0"/>
              <w:right w:val="single" w:color="auto" w:sz="4" w:space="0"/>
            </w:tcBorders>
          </w:tcPr>
          <w:p>
            <w:pPr>
              <w:spacing w:line="360" w:lineRule="auto"/>
              <w:ind w:right="-107" w:rightChars="-51"/>
              <w:rPr>
                <w:rFonts w:ascii="宋体" w:hAnsi="宋体"/>
                <w:sz w:val="18"/>
                <w:szCs w:val="18"/>
              </w:rPr>
            </w:pPr>
            <w:r>
              <w:rPr>
                <w:rFonts w:hint="eastAsia" w:ascii="宋体" w:hAnsi="宋体"/>
                <w:sz w:val="18"/>
                <w:szCs w:val="18"/>
              </w:rPr>
              <w:t>GPRS模块、WIFI模块、显示二维码、彩屏、非接模块</w:t>
            </w:r>
          </w:p>
        </w:tc>
        <w:tc>
          <w:tcPr>
            <w:tcW w:w="2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ascii="宋体" w:hAnsi="宋体"/>
                <w:sz w:val="18"/>
                <w:szCs w:val="18"/>
              </w:rPr>
              <w:t>______</w:t>
            </w:r>
            <w:r>
              <w:rPr>
                <w:rFonts w:hint="eastAsia" w:ascii="宋体" w:hAnsi="宋体"/>
                <w:sz w:val="18"/>
                <w:szCs w:val="18"/>
              </w:rPr>
              <w:t>.00</w:t>
            </w:r>
          </w:p>
        </w:tc>
        <w:tc>
          <w:tcPr>
            <w:tcW w:w="10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18"/>
                <w:szCs w:val="18"/>
                <w:u w:val="single"/>
              </w:rPr>
            </w:pPr>
            <w:r>
              <w:rPr>
                <w:rFonts w:ascii="宋体" w:hAnsi="宋体"/>
                <w:sz w:val="18"/>
                <w:szCs w:val="18"/>
                <w:u w:val="single"/>
              </w:rPr>
              <w:t xml:space="preserve">     </w:t>
            </w:r>
            <w:r>
              <w:rPr>
                <w:rFonts w:hint="eastAsia" w:ascii="宋体" w:hAnsi="宋体"/>
                <w:sz w:val="18"/>
                <w:szCs w:val="18"/>
                <w:u w:val="single"/>
              </w:rPr>
              <w:t xml:space="preserve"> 台</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p>
        </w:tc>
      </w:tr>
    </w:tbl>
    <w:p>
      <w:pPr>
        <w:spacing w:line="360" w:lineRule="auto"/>
        <w:ind w:left="360"/>
        <w:jc w:val="left"/>
        <w:rPr>
          <w:sz w:val="18"/>
          <w:szCs w:val="18"/>
        </w:rPr>
      </w:pPr>
      <w:r>
        <w:rPr>
          <w:sz w:val="18"/>
          <w:szCs w:val="18"/>
        </w:rPr>
        <w:t>备注</w:t>
      </w:r>
      <w:r>
        <w:rPr>
          <w:rFonts w:hint="eastAsia"/>
          <w:sz w:val="18"/>
          <w:szCs w:val="18"/>
        </w:rPr>
        <w:t>：</w:t>
      </w:r>
      <w:r>
        <w:rPr>
          <w:rFonts w:hint="eastAsia" w:ascii="宋体" w:hAnsi="宋体"/>
          <w:sz w:val="18"/>
          <w:szCs w:val="18"/>
        </w:rPr>
        <w:t>扫码机具功能：支持微信、支付宝、银联二维码、NFC非接交易，需2台起订。</w:t>
      </w:r>
    </w:p>
    <w:p>
      <w:pPr>
        <w:spacing w:line="360" w:lineRule="auto"/>
        <w:ind w:left="360"/>
        <w:jc w:val="left"/>
        <w:rPr>
          <w:sz w:val="18"/>
          <w:szCs w:val="18"/>
        </w:rPr>
      </w:pPr>
    </w:p>
    <w:p>
      <w:pPr>
        <w:spacing w:line="360" w:lineRule="auto"/>
        <w:ind w:left="360"/>
        <w:jc w:val="left"/>
        <w:rPr>
          <w:rFonts w:hint="eastAsia"/>
          <w:szCs w:val="21"/>
        </w:rPr>
      </w:pPr>
      <w:r>
        <w:rPr>
          <w:rFonts w:hint="eastAsia"/>
          <w:szCs w:val="21"/>
        </w:rPr>
        <w:t>2.2合作期间，乙方在充分保护甲方权益的前提下，有权根据市场情况、监管机构政策及法律法规变化调整费率，甲乙双方届时另行就手续费率及商务政策调整事项签订补充协议。</w:t>
      </w:r>
    </w:p>
    <w:p>
      <w:pPr>
        <w:spacing w:line="360" w:lineRule="auto"/>
        <w:ind w:left="360"/>
        <w:jc w:val="left"/>
        <w:rPr>
          <w:szCs w:val="21"/>
        </w:rPr>
      </w:pPr>
      <w:r>
        <w:rPr>
          <w:rFonts w:hint="eastAsia"/>
          <w:szCs w:val="21"/>
        </w:rPr>
        <w:t>2.3若甲方在乙方处入网不满90日或者入网后连续正常交易不满30日的，乙方有权拒绝为甲方提供T+0资金结算服务。</w:t>
      </w:r>
    </w:p>
    <w:p>
      <w:pPr>
        <w:spacing w:line="360" w:lineRule="auto"/>
        <w:ind w:left="360"/>
        <w:jc w:val="left"/>
        <w:rPr>
          <w:szCs w:val="21"/>
        </w:rPr>
      </w:pPr>
      <w:r>
        <w:rPr>
          <w:rFonts w:hint="eastAsia"/>
          <w:szCs w:val="21"/>
        </w:rPr>
        <w:t>2.4对于交易款项，甲方按照T+( 1 )个工作日为一个周期进行结算，乙方通过网上电子转账的方式在交易结束后第</w:t>
      </w:r>
      <w:r>
        <w:rPr>
          <w:rFonts w:hint="eastAsia"/>
          <w:szCs w:val="21"/>
          <w:u w:val="single"/>
        </w:rPr>
        <w:t xml:space="preserve">  1  </w:t>
      </w:r>
      <w:r>
        <w:rPr>
          <w:rFonts w:hint="eastAsia"/>
          <w:szCs w:val="21"/>
        </w:rPr>
        <w:t>个工作日内及时将结算款项划拨到甲方指定账户，如约定周期内结算金额小于1000元时，将延期到下一结算日结算。</w:t>
      </w:r>
    </w:p>
    <w:p>
      <w:pPr>
        <w:spacing w:line="360" w:lineRule="auto"/>
        <w:ind w:left="360"/>
        <w:jc w:val="left"/>
        <w:rPr>
          <w:szCs w:val="21"/>
        </w:rPr>
      </w:pPr>
      <w:r>
        <w:rPr>
          <w:rFonts w:hint="eastAsia"/>
          <w:szCs w:val="21"/>
        </w:rPr>
        <w:t>2.5甲方同意，乙方于甲方每笔交易发生时，实时在甲方待结算资金中扣除服务手续费。</w:t>
      </w:r>
    </w:p>
    <w:p>
      <w:pPr>
        <w:spacing w:line="360" w:lineRule="auto"/>
        <w:ind w:left="360"/>
        <w:jc w:val="left"/>
        <w:rPr>
          <w:szCs w:val="21"/>
        </w:rPr>
      </w:pPr>
      <w:r>
        <w:rPr>
          <w:rFonts w:hint="eastAsia"/>
          <w:szCs w:val="21"/>
        </w:rPr>
        <w:t>2.6甲方需开具发票的，须向乙方提供开票信息。甲方指定结算账户信息如下：</w:t>
      </w:r>
    </w:p>
    <w:p>
      <w:pPr>
        <w:spacing w:line="360" w:lineRule="auto"/>
        <w:ind w:firstLine="420" w:firstLineChars="200"/>
        <w:rPr>
          <w:szCs w:val="21"/>
        </w:rPr>
      </w:pPr>
      <w:r>
        <w:rPr>
          <w:rFonts w:hint="eastAsia"/>
          <w:szCs w:val="21"/>
        </w:rPr>
        <w:t xml:space="preserve">户名：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开户银行：</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银行账号：</w:t>
      </w:r>
      <w:r>
        <w:rPr>
          <w:rFonts w:hint="eastAsia"/>
          <w:szCs w:val="21"/>
          <w:u w:val="single"/>
        </w:rPr>
        <w:t xml:space="preserve">        </w:t>
      </w:r>
      <w:r>
        <w:rPr>
          <w:szCs w:val="21"/>
          <w:u w:val="single"/>
        </w:rPr>
        <w:t xml:space="preserve">        </w:t>
      </w:r>
      <w:r>
        <w:rPr>
          <w:rFonts w:hint="eastAsia"/>
          <w:szCs w:val="21"/>
          <w:u w:val="single"/>
        </w:rPr>
        <w:t xml:space="preserve">   </w:t>
      </w:r>
    </w:p>
    <w:p>
      <w:pPr>
        <w:spacing w:line="360" w:lineRule="auto"/>
        <w:ind w:left="360"/>
        <w:jc w:val="left"/>
        <w:rPr>
          <w:rFonts w:hint="eastAsia"/>
          <w:szCs w:val="21"/>
        </w:rPr>
      </w:pPr>
      <w:r>
        <w:rPr>
          <w:rFonts w:hint="eastAsia"/>
          <w:szCs w:val="21"/>
        </w:rPr>
        <w:t>2.7本协议项下POS服务及扫码类服务的资费计算标准：</w:t>
      </w:r>
    </w:p>
    <w:p>
      <w:pPr>
        <w:spacing w:line="360" w:lineRule="auto"/>
        <w:ind w:left="360"/>
        <w:jc w:val="left"/>
        <w:rPr>
          <w:rFonts w:hint="eastAsia"/>
          <w:szCs w:val="21"/>
        </w:rPr>
      </w:pPr>
      <w:r>
        <w:rPr>
          <w:rFonts w:hint="eastAsia"/>
          <w:szCs w:val="21"/>
        </w:rPr>
        <w:t>计算公式为：支付交易服务手续费＝单笔交易金额*交易手续费率。</w:t>
      </w:r>
    </w:p>
    <w:p>
      <w:pPr>
        <w:spacing w:line="360" w:lineRule="auto"/>
        <w:ind w:firstLine="420" w:firstLineChars="200"/>
      </w:pPr>
      <w:r>
        <w:t>2.</w:t>
      </w:r>
      <w:r>
        <w:rPr>
          <w:rFonts w:hint="eastAsia"/>
        </w:rPr>
        <w:t>8合作期间，乙方在充分保护甲方</w:t>
      </w:r>
      <w:r>
        <w:t>的正当</w:t>
      </w:r>
      <w:r>
        <w:rPr>
          <w:rFonts w:hint="eastAsia"/>
        </w:rPr>
        <w:t>权益的前提下，有权根据市场情况、监管机构政策及法律法规变化调整费率，双方届时另行就手续费率及商务政策调整事项通过系统后台</w:t>
      </w:r>
      <w:r>
        <w:t>通知或邮件通知等形式</w:t>
      </w:r>
      <w:r>
        <w:rPr>
          <w:rFonts w:hint="eastAsia"/>
        </w:rPr>
        <w:t>，</w:t>
      </w:r>
      <w:r>
        <w:t>由</w:t>
      </w:r>
      <w:r>
        <w:rPr>
          <w:rFonts w:hint="eastAsia"/>
        </w:rPr>
        <w:t>乙方另行</w:t>
      </w:r>
      <w:r>
        <w:t>补充确</w:t>
      </w:r>
      <w:r>
        <w:rPr>
          <w:rFonts w:hint="eastAsia"/>
        </w:rPr>
        <w:t>认。</w:t>
      </w:r>
    </w:p>
    <w:p>
      <w:pPr>
        <w:spacing w:line="360" w:lineRule="auto"/>
        <w:ind w:firstLine="420" w:firstLineChars="200"/>
      </w:pPr>
      <w:r>
        <w:t>2</w:t>
      </w:r>
      <w:r>
        <w:rPr>
          <w:rFonts w:hint="eastAsia"/>
        </w:rPr>
        <w:t>.9对于交易款项，如甲方未通过商户后台系统另行更改结算周期，则乙方通过网上电子转账的方式在交易结束后根据结算周期及时将结算款项划拨到乙方指定结算银行卡账户或电子银行账户。如因系统故障、银联或上游银行等原因导致结算延迟等特殊情况，乙方及时将结算延迟的相关情况及时通知甲方。</w:t>
      </w:r>
    </w:p>
    <w:p>
      <w:pPr>
        <w:spacing w:line="360" w:lineRule="auto"/>
        <w:ind w:firstLine="420" w:firstLineChars="200"/>
        <w:rPr>
          <w:rFonts w:hint="eastAsia"/>
        </w:rPr>
      </w:pPr>
      <w:r>
        <w:t>2.</w:t>
      </w:r>
      <w:r>
        <w:rPr>
          <w:rFonts w:hint="eastAsia"/>
        </w:rPr>
        <w:t>10</w:t>
      </w:r>
      <w:r>
        <w:t>乙方根据甲方确认</w:t>
      </w:r>
      <w:r>
        <w:rPr>
          <w:rFonts w:hint="eastAsia"/>
        </w:rPr>
        <w:t>开通服务项目的资费标准，由乙方于甲方每笔交易发生时，实时在甲方的待结算资金中扣除交易服务手续费。</w:t>
      </w:r>
    </w:p>
    <w:p>
      <w:pPr>
        <w:spacing w:line="360" w:lineRule="auto"/>
        <w:ind w:firstLine="422" w:firstLineChars="200"/>
        <w:rPr>
          <w:rFonts w:ascii="宋体" w:hAnsi="宋体"/>
          <w:b/>
          <w:szCs w:val="21"/>
        </w:rPr>
      </w:pPr>
      <w:r>
        <w:rPr>
          <w:rFonts w:ascii="宋体" w:hAnsi="宋体"/>
          <w:b/>
          <w:szCs w:val="21"/>
        </w:rPr>
        <w:t>3</w:t>
      </w:r>
      <w:r>
        <w:rPr>
          <w:rFonts w:hint="eastAsia" w:ascii="宋体" w:hAnsi="宋体"/>
          <w:b/>
          <w:szCs w:val="21"/>
          <w:lang w:eastAsia="zh-CN"/>
        </w:rPr>
        <w:t>、</w:t>
      </w:r>
      <w:r>
        <w:rPr>
          <w:rFonts w:ascii="宋体" w:hAnsi="宋体"/>
          <w:b/>
          <w:szCs w:val="21"/>
        </w:rPr>
        <w:t>甲方资质要求</w:t>
      </w:r>
    </w:p>
    <w:p>
      <w:pPr>
        <w:spacing w:line="360" w:lineRule="auto"/>
        <w:ind w:firstLine="420" w:firstLineChars="200"/>
        <w:rPr>
          <w:rFonts w:ascii="宋体" w:hAnsi="宋体" w:cs="宋体"/>
          <w:szCs w:val="21"/>
        </w:rPr>
      </w:pPr>
      <w:r>
        <w:rPr>
          <w:rFonts w:ascii="宋体" w:hAnsi="宋体" w:cs="宋体"/>
          <w:szCs w:val="21"/>
        </w:rPr>
        <w:t>3.1</w:t>
      </w:r>
      <w:r>
        <w:rPr>
          <w:rFonts w:hint="eastAsia" w:ascii="宋体" w:hAnsi="宋体" w:cs="宋体"/>
          <w:szCs w:val="21"/>
        </w:rPr>
        <w:t xml:space="preserve"> 甲方除了如实填写经营信息外，还应在签订本协议同时按乙方要求提供包括但不限于最新的营业执照副本、社会信用代码证、银行开户许可证/ 银行开户证明、相关经营场地证明、</w:t>
      </w:r>
      <w:r>
        <w:rPr>
          <w:rFonts w:ascii="宋体" w:hAnsi="宋体" w:cs="宋体"/>
          <w:szCs w:val="21"/>
        </w:rPr>
        <w:t>经营资质证明（以上资质均</w:t>
      </w:r>
      <w:r>
        <w:rPr>
          <w:rFonts w:hint="eastAsia" w:ascii="宋体" w:hAnsi="宋体" w:cs="宋体"/>
          <w:szCs w:val="21"/>
        </w:rPr>
        <w:t>需提供</w:t>
      </w:r>
      <w:r>
        <w:rPr>
          <w:rFonts w:ascii="宋体" w:hAnsi="宋体" w:cs="宋体"/>
          <w:szCs w:val="21"/>
        </w:rPr>
        <w:t>复印件并加盖企业公章）和法定代表人身份证</w:t>
      </w:r>
      <w:r>
        <w:rPr>
          <w:rFonts w:hint="eastAsia" w:ascii="宋体" w:hAnsi="宋体" w:cs="宋体"/>
          <w:szCs w:val="21"/>
        </w:rPr>
        <w:t>正反面</w:t>
      </w:r>
      <w:r>
        <w:rPr>
          <w:rFonts w:ascii="宋体" w:hAnsi="宋体" w:cs="宋体"/>
          <w:szCs w:val="21"/>
        </w:rPr>
        <w:t>复印件（须</w:t>
      </w:r>
      <w:r>
        <w:rPr>
          <w:rFonts w:hint="eastAsia" w:ascii="宋体" w:hAnsi="宋体" w:cs="宋体"/>
          <w:szCs w:val="21"/>
        </w:rPr>
        <w:t>加盖公章</w:t>
      </w:r>
      <w:r>
        <w:rPr>
          <w:rFonts w:ascii="宋体" w:hAnsi="宋体" w:cs="宋体"/>
          <w:szCs w:val="21"/>
        </w:rPr>
        <w:t>）、相关行业资质证书等证明材料</w:t>
      </w:r>
      <w:r>
        <w:rPr>
          <w:rFonts w:hint="eastAsia" w:ascii="宋体" w:hAnsi="宋体" w:cs="宋体"/>
          <w:szCs w:val="21"/>
        </w:rPr>
        <w:t>，如甲方未按上述要求提供证明材料，乙方有权暂缓与甲方的合作。</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 甲方应保证其所提供的信息和资料真实、准确、合法。如甲方提供的信息或甲方经营模式、内容发生变更（包括但不限于甲方名称、开户信息、经营范围、经营场地、法定</w:t>
      </w:r>
      <w:r>
        <w:rPr>
          <w:rFonts w:ascii="宋体" w:hAnsi="宋体" w:cs="宋体"/>
          <w:szCs w:val="21"/>
        </w:rPr>
        <w:t>代表人等变更）</w:t>
      </w:r>
      <w:r>
        <w:rPr>
          <w:rFonts w:hint="eastAsia" w:ascii="宋体" w:hAnsi="宋体" w:cs="宋体"/>
          <w:szCs w:val="21"/>
        </w:rPr>
        <w:t>，甲方应在发生变更后</w:t>
      </w:r>
      <w:r>
        <w:rPr>
          <w:rFonts w:ascii="宋体" w:hAnsi="宋体" w:cs="宋体"/>
          <w:szCs w:val="21"/>
        </w:rPr>
        <w:t>5</w:t>
      </w:r>
      <w:r>
        <w:rPr>
          <w:rFonts w:hint="eastAsia" w:ascii="宋体" w:hAnsi="宋体" w:cs="宋体"/>
          <w:szCs w:val="21"/>
        </w:rPr>
        <w:t>日</w:t>
      </w:r>
      <w:r>
        <w:rPr>
          <w:rFonts w:ascii="宋体" w:hAnsi="宋体" w:cs="宋体"/>
          <w:szCs w:val="21"/>
        </w:rPr>
        <w:t>内书面通知乙方</w:t>
      </w:r>
      <w:r>
        <w:rPr>
          <w:rFonts w:hint="eastAsia" w:ascii="宋体" w:hAnsi="宋体" w:cs="宋体"/>
          <w:szCs w:val="21"/>
        </w:rPr>
        <w:t>，如甲方未能及时通知，因此可能导致甲方的服务账户无法正常使用等不利后果，由甲方自行承担</w:t>
      </w:r>
      <w:r>
        <w:rPr>
          <w:rFonts w:ascii="宋体" w:hAnsi="宋体" w:cs="宋体"/>
          <w:szCs w:val="21"/>
        </w:rPr>
        <w:t>。</w:t>
      </w:r>
    </w:p>
    <w:p>
      <w:pPr>
        <w:tabs>
          <w:tab w:val="left" w:pos="567"/>
        </w:tabs>
        <w:spacing w:line="360" w:lineRule="auto"/>
        <w:ind w:firstLine="422" w:firstLineChars="200"/>
        <w:rPr>
          <w:rFonts w:ascii="宋体" w:hAnsi="宋体"/>
          <w:b/>
          <w:szCs w:val="21"/>
        </w:rPr>
      </w:pPr>
      <w:r>
        <w:rPr>
          <w:rFonts w:ascii="宋体" w:hAnsi="宋体"/>
          <w:b/>
          <w:szCs w:val="21"/>
        </w:rPr>
        <w:t>4</w:t>
      </w:r>
      <w:r>
        <w:rPr>
          <w:rFonts w:hint="eastAsia" w:ascii="宋体" w:hAnsi="宋体"/>
          <w:b/>
          <w:szCs w:val="21"/>
          <w:lang w:eastAsia="zh-CN"/>
        </w:rPr>
        <w:t>、</w:t>
      </w:r>
      <w:r>
        <w:rPr>
          <w:rFonts w:hint="eastAsia" w:ascii="宋体" w:hAnsi="宋体"/>
          <w:b/>
          <w:szCs w:val="21"/>
        </w:rPr>
        <w:t>甲方权利和义务</w:t>
      </w:r>
    </w:p>
    <w:p>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1甲方保证合法、诚信经营，不从事包括但不限于非法经营、不正当竞争、虚假宣传、非法广告、商业欺诈或侵害消费者或用户合法权益的任何活动。甲方如实施本条款涉及的相关行为，则需承担因其交易信息违法、虚假陈述或不详实造成的一切投诉、退货、纠纷、处罚等责任，给乙方造成损失的，甲方应承担全部赔偿责任</w:t>
      </w:r>
      <w:r>
        <w:rPr>
          <w:rFonts w:ascii="宋体" w:hAnsi="宋体" w:cs="宋体"/>
          <w:szCs w:val="21"/>
        </w:rPr>
        <w:t>。</w:t>
      </w:r>
    </w:p>
    <w:p>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.2甲方有义务及时、妥善处理与消费者、用户之间的任何投诉和纠纷，承担因甲方原因而引发的全部法律责任，并不得因此影响乙方的声誉和形象或给乙方造成经济损失。</w:t>
      </w:r>
    </w:p>
    <w:p>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3甲方（包括甲方的员工，其合作机构及其雇员等）不得以任何手段和方式采集、截取、盗用消费者或用户（即持卡人）的银行卡或非银行卡账号、密码及磁条等信息，甲方应当做好持卡人信息的保密工作，乙方有权对甲方采取定期检查、技术检测等必要监督措施，若乙方发现甲方违反本条约定的保密义务，乙方有权立即解除本协议，并要求甲方承担一切法律责任。</w:t>
      </w:r>
    </w:p>
    <w:p>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.4</w:t>
      </w:r>
      <w:r>
        <w:rPr>
          <w:rFonts w:ascii="宋体" w:hAnsi="宋体" w:cs="宋体"/>
          <w:szCs w:val="21"/>
        </w:rPr>
        <w:t>甲方应</w:t>
      </w:r>
      <w:r>
        <w:rPr>
          <w:rFonts w:hint="eastAsia" w:ascii="宋体" w:hAnsi="宋体" w:cs="宋体"/>
          <w:szCs w:val="21"/>
        </w:rPr>
        <w:t>妥善保管其在乙方商户后台的登录名及其密码、在乙方开立的支付服务账户（如有）及其密码，以及安全认证工具、加密私钥信息等。因甲方保管、设置及使用不当造成的经济损失和法律责任，由甲方自行承担。甲方确保自身所发出支付指令的合法性、真实性、有效性及完整性。任何使用甲方的登录名、账户、密码和（或）数字证书发送至乙方系统的支付指令构成甲方不可撤销的授权付款指示，乙方对于依照该指示进行支付的行为及其结果不承担任何责任。若甲方需对其开设的服务账户要求关闭或冻结，应及时与乙方客服人员联系，并按照相关要求提供资料进行操作。如甲方发现有他人冒用、盗用或未经甲方授权使用其账户或操作其资金，应及时通知乙方，并按照乙方规定办理相关手续，由乙方采取必要措施予以配合。</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rPr>
        <w:t>.5甲方应遵守协议中对甲方业务（提供的产品或服务）范围和经营的严格限定，不得擅自更改业务模式、范围。</w:t>
      </w:r>
      <w:r>
        <w:rPr>
          <w:rFonts w:ascii="宋体" w:hAnsi="宋体" w:eastAsia="宋体" w:cs="宋体"/>
          <w:b/>
          <w:color w:val="auto"/>
          <w:szCs w:val="21"/>
        </w:rPr>
        <w:t>甲方</w:t>
      </w:r>
      <w:r>
        <w:rPr>
          <w:rFonts w:hint="eastAsia" w:ascii="宋体" w:hAnsi="宋体" w:eastAsia="宋体" w:cs="宋体"/>
          <w:b/>
          <w:color w:val="auto"/>
          <w:szCs w:val="21"/>
        </w:rPr>
        <w:t>郑重</w:t>
      </w:r>
      <w:r>
        <w:rPr>
          <w:rFonts w:ascii="宋体" w:hAnsi="宋体" w:eastAsia="宋体" w:cs="宋体"/>
          <w:b/>
          <w:color w:val="auto"/>
          <w:szCs w:val="21"/>
        </w:rPr>
        <w:t>承诺</w:t>
      </w:r>
      <w:r>
        <w:rPr>
          <w:rFonts w:hint="eastAsia" w:ascii="宋体" w:hAnsi="宋体" w:eastAsia="宋体" w:cs="宋体"/>
          <w:b/>
          <w:color w:val="auto"/>
          <w:szCs w:val="21"/>
        </w:rPr>
        <w:t>：其就本协议</w:t>
      </w:r>
      <w:r>
        <w:rPr>
          <w:rFonts w:ascii="宋体" w:hAnsi="宋体" w:eastAsia="宋体" w:cs="宋体"/>
          <w:b/>
          <w:color w:val="auto"/>
          <w:szCs w:val="21"/>
        </w:rPr>
        <w:t>发起的交易基于真实的交易背景，不得利用乙方提供的服务进行虚假交易或非法经营。</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4.6甲方应按乙方的要求向乙方提供详细的、真实可信的交易信息字段，交易信息至少包括：直接提供商品或服务的商户名称、商品订单号、商品名称、商品描述、交易金额、交易时间和地点、交易类型和渠道等。</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rPr>
        <w:t>.7甲方须在其网站或服务场所标注甲方的具体联系方式，甲方与其用户发生交易纠纷时，乙方有权将甲方的联系方式告知甲方用户。未经乙方书面允许，</w:t>
      </w:r>
      <w:r>
        <w:rPr>
          <w:rFonts w:ascii="宋体" w:hAnsi="宋体" w:eastAsia="宋体" w:cs="宋体"/>
          <w:color w:val="auto"/>
          <w:szCs w:val="21"/>
        </w:rPr>
        <w:t>甲方不得将甲方与乙方之间的合作协议提供给任何第三方（</w:t>
      </w:r>
      <w:r>
        <w:rPr>
          <w:rFonts w:hint="eastAsia" w:ascii="宋体" w:hAnsi="宋体" w:eastAsia="宋体" w:cs="宋体"/>
          <w:color w:val="auto"/>
          <w:szCs w:val="21"/>
        </w:rPr>
        <w:t>政府</w:t>
      </w:r>
      <w:r>
        <w:rPr>
          <w:rFonts w:ascii="宋体" w:hAnsi="宋体" w:eastAsia="宋体" w:cs="宋体"/>
          <w:color w:val="auto"/>
          <w:szCs w:val="21"/>
        </w:rPr>
        <w:t>监管要求的除外）。</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20" w:firstLineChars="200"/>
        <w:rPr>
          <w:rFonts w:cs="宋体" w:asciiTheme="minorEastAsia" w:hAnsiTheme="minorEastAsia" w:eastAsiaTheme="minorEastAsia"/>
          <w:color w:val="auto"/>
          <w:szCs w:val="21"/>
        </w:rPr>
      </w:pPr>
      <w:r>
        <w:rPr>
          <w:rFonts w:ascii="宋体" w:hAnsi="宋体" w:eastAsia="宋体" w:cs="宋体"/>
          <w:color w:val="auto"/>
          <w:szCs w:val="21"/>
        </w:rPr>
        <w:t>4</w:t>
      </w:r>
      <w:r>
        <w:rPr>
          <w:rFonts w:hint="eastAsia" w:ascii="宋体" w:hAnsi="宋体" w:eastAsia="宋体" w:cs="宋体"/>
          <w:color w:val="auto"/>
          <w:szCs w:val="21"/>
        </w:rPr>
        <w:t>.8甲方不得将双方的合作用于包括但不限于非法经营、不正当竞争、虚假宣传、非法广告、商业欺诈、侵害消费者等非法目的。未经乙方书面同意，甲方不得对外声称乙方为其提供担保、资金托管、保证等服务。</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420" w:firstLineChars="200"/>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4</w:t>
      </w:r>
      <w:r>
        <w:rPr>
          <w:rFonts w:hint="eastAsia" w:cs="宋体" w:asciiTheme="minorEastAsia" w:hAnsiTheme="minorEastAsia" w:eastAsiaTheme="minorEastAsia"/>
          <w:color w:val="auto"/>
          <w:szCs w:val="21"/>
        </w:rPr>
        <w:t>.9</w:t>
      </w:r>
      <w:r>
        <w:rPr>
          <w:rFonts w:cs="宋体" w:asciiTheme="minorEastAsia" w:hAnsiTheme="minorEastAsia" w:eastAsiaTheme="minorEastAsia"/>
          <w:color w:val="auto"/>
          <w:szCs w:val="21"/>
        </w:rPr>
        <w:t>甲方应妥善保管交易产生的资料、数据，</w:t>
      </w:r>
      <w:r>
        <w:rPr>
          <w:rFonts w:hint="eastAsia" w:cs="宋体" w:asciiTheme="minorEastAsia" w:hAnsiTheme="minorEastAsia" w:eastAsiaTheme="minorEastAsia"/>
          <w:color w:val="auto"/>
          <w:szCs w:val="21"/>
        </w:rPr>
        <w:t>自交易</w:t>
      </w:r>
      <w:r>
        <w:rPr>
          <w:rFonts w:cs="宋体" w:asciiTheme="minorEastAsia" w:hAnsiTheme="minorEastAsia" w:eastAsiaTheme="minorEastAsia"/>
          <w:color w:val="auto"/>
          <w:szCs w:val="21"/>
        </w:rPr>
        <w:t>完成之日起不少于五年。如因甲方保管不善或其他</w:t>
      </w:r>
      <w:r>
        <w:rPr>
          <w:rFonts w:hint="eastAsia" w:cs="宋体" w:asciiTheme="minorEastAsia" w:hAnsiTheme="minorEastAsia" w:eastAsiaTheme="minorEastAsia"/>
          <w:color w:val="auto"/>
          <w:szCs w:val="21"/>
        </w:rPr>
        <w:t xml:space="preserve">            </w:t>
      </w:r>
      <w:r>
        <w:rPr>
          <w:rFonts w:cs="宋体" w:asciiTheme="minorEastAsia" w:hAnsiTheme="minorEastAsia" w:eastAsiaTheme="minorEastAsia"/>
          <w:color w:val="auto"/>
          <w:szCs w:val="21"/>
        </w:rPr>
        <w:t>违约行为造成的相关资金风险和责任由甲方承担。</w:t>
      </w:r>
      <w:r>
        <w:rPr>
          <w:rFonts w:hint="eastAsia" w:cs="宋体" w:asciiTheme="minorEastAsia" w:hAnsiTheme="minorEastAsia" w:eastAsiaTheme="minorEastAsia"/>
          <w:color w:val="auto"/>
          <w:szCs w:val="21"/>
        </w:rPr>
        <w:t>对乙方或银联机构、上游银行等提出的查询通知及调单要求，甲方应在接到乙方通知后，以电子邮件、信件或传真的方式在两个工作日内将相关单据回复给乙方，如甲方未在约定时间内提交相关资料，乙方有权采取暂缓甲方的资金结算、限制账户功能等措施，甲方需承担由此引起的相应法律责任及后果。</w:t>
      </w:r>
    </w:p>
    <w:p>
      <w:pPr>
        <w:tabs>
          <w:tab w:val="left" w:pos="567"/>
          <w:tab w:val="left" w:pos="993"/>
        </w:tabs>
        <w:suppressAutoHyphens/>
        <w:spacing w:line="360" w:lineRule="auto"/>
        <w:rPr>
          <w:rFonts w:ascii="宋体" w:hAnsi="宋体" w:cs="宋体"/>
          <w:szCs w:val="21"/>
        </w:rPr>
      </w:pP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w:t>
      </w:r>
      <w:r>
        <w:rPr>
          <w:rFonts w:ascii="宋体" w:hAnsi="宋体" w:cs="宋体"/>
          <w:szCs w:val="21"/>
        </w:rPr>
        <w:t>4</w:t>
      </w:r>
      <w:r>
        <w:rPr>
          <w:rFonts w:hint="eastAsia" w:ascii="宋体" w:hAnsi="宋体" w:cs="宋体"/>
          <w:szCs w:val="21"/>
        </w:rPr>
        <w:t>.10甲方不得把乙方提供的服务账户、接口技术、安全协议及证书用于本协议以外的其他用途，也不得出租、转让给任何第三方使用。甲方不得将其他商户的交易伪造成自己的交易与乙方结算。</w:t>
      </w:r>
    </w:p>
    <w:p>
      <w:pPr>
        <w:tabs>
          <w:tab w:val="left" w:pos="567"/>
          <w:tab w:val="left" w:pos="993"/>
        </w:tabs>
        <w:suppressAutoHyphens/>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.1</w:t>
      </w:r>
      <w:r>
        <w:rPr>
          <w:rFonts w:ascii="宋体" w:hAnsi="宋体" w:cs="宋体"/>
          <w:szCs w:val="21"/>
        </w:rPr>
        <w:t>1</w:t>
      </w:r>
      <w:r>
        <w:rPr>
          <w:rFonts w:hint="eastAsia" w:ascii="宋体" w:hAnsi="宋体" w:cs="宋体"/>
          <w:szCs w:val="21"/>
        </w:rPr>
        <w:t>甲方应保证受理终端除由乙方或乙方授权的相关人员进行维护和更换外，不被其他任何人员进行检测、拆修、改装和更换或加装其他设备，乙方有权不定期对受理终端进行巡检，如发现甲方违规使用，乙方有权暂停或终止甲方交易及结算。</w:t>
      </w:r>
    </w:p>
    <w:p>
      <w:pPr>
        <w:tabs>
          <w:tab w:val="left" w:pos="567"/>
          <w:tab w:val="left" w:pos="993"/>
        </w:tabs>
        <w:suppressAutoHyphens/>
        <w:spacing w:line="360" w:lineRule="auto"/>
        <w:ind w:firstLine="420" w:firstLineChars="200"/>
        <w:rPr>
          <w:rFonts w:ascii="宋体" w:hAnsi="宋体" w:cs="宋体"/>
          <w:szCs w:val="21"/>
        </w:rPr>
      </w:pPr>
      <w:r>
        <w:rPr>
          <w:rFonts w:ascii="宋体" w:hAnsi="宋体" w:cs="宋体"/>
          <w:szCs w:val="21"/>
        </w:rPr>
        <w:t>4.12</w:t>
      </w:r>
      <w:r>
        <w:rPr>
          <w:rFonts w:hint="eastAsia" w:ascii="宋体" w:hAnsi="宋体" w:cs="宋体"/>
          <w:szCs w:val="21"/>
        </w:rPr>
        <w:t>甲方不得对乙方的支付服务系统和程序采取反向工程或技术手段进行破解，不得对上述系统和程序（包括但不限于源程序、目标程序、软件文档、运行在本地电脑内存中的数据、客户端至服务器端的数据、服务器数据等）进行复制、修改、编译、整合与纂改，不得修改或增加乙方支付服务系统的原有功能。</w:t>
      </w:r>
    </w:p>
    <w:p>
      <w:pPr>
        <w:tabs>
          <w:tab w:val="left" w:pos="567"/>
          <w:tab w:val="left" w:pos="993"/>
        </w:tabs>
        <w:suppressAutoHyphens/>
        <w:spacing w:line="360" w:lineRule="auto"/>
        <w:ind w:firstLine="420" w:firstLineChars="200"/>
        <w:jc w:val="left"/>
        <w:rPr>
          <w:rFonts w:hint="eastAsia" w:ascii="宋体" w:hAnsi="宋体" w:cs="宋体"/>
          <w:szCs w:val="21"/>
        </w:rPr>
      </w:pPr>
      <w:r>
        <w:rPr>
          <w:rFonts w:ascii="宋体" w:hAnsi="宋体" w:cs="宋体"/>
          <w:szCs w:val="21"/>
        </w:rPr>
        <w:t>4</w:t>
      </w:r>
      <w:r>
        <w:rPr>
          <w:rFonts w:hint="eastAsia" w:ascii="宋体" w:hAnsi="宋体" w:cs="宋体"/>
          <w:szCs w:val="21"/>
        </w:rPr>
        <w:t>.1</w:t>
      </w:r>
      <w:r>
        <w:rPr>
          <w:rFonts w:ascii="宋体" w:hAnsi="宋体" w:cs="宋体"/>
          <w:szCs w:val="21"/>
        </w:rPr>
        <w:t>3</w:t>
      </w:r>
      <w:r>
        <w:rPr>
          <w:rFonts w:hint="eastAsia" w:ascii="宋体" w:hAnsi="宋体" w:cs="宋体"/>
          <w:szCs w:val="21"/>
        </w:rPr>
        <w:t>甲方如系通过乙方代理商的推荐向乙方申请开通支付产品服务的，甲方所申请开通的产品及手续费率，以甲方或其授权代理人通过网络方式申请确认的产品类型和手续费费率，并以乙方商户后台记载内容为准。乙方届时有权依据甲方确认的产品类型和手续费率标准，于甲方每笔交易发生时，从甲方每笔交易款项中或从甲方手续费账户中实时扣除服务手续费，甲方对此表示无异议。</w:t>
      </w:r>
    </w:p>
    <w:p>
      <w:pPr>
        <w:tabs>
          <w:tab w:val="left" w:pos="567"/>
          <w:tab w:val="left" w:pos="993"/>
        </w:tabs>
        <w:suppressAutoHyphens/>
        <w:spacing w:line="360" w:lineRule="auto"/>
        <w:ind w:firstLine="420" w:firstLineChars="200"/>
        <w:jc w:val="left"/>
        <w:rPr>
          <w:rFonts w:ascii="宋体" w:hAnsi="宋体" w:cs="宋体"/>
          <w:szCs w:val="21"/>
        </w:rPr>
      </w:pPr>
      <w:r>
        <w:rPr>
          <w:rFonts w:ascii="宋体" w:hAnsi="宋体" w:cs="宋体"/>
          <w:szCs w:val="21"/>
        </w:rPr>
        <w:t>4</w:t>
      </w:r>
      <w:r>
        <w:rPr>
          <w:rFonts w:hint="eastAsia" w:ascii="宋体" w:hAnsi="宋体" w:cs="宋体"/>
          <w:szCs w:val="21"/>
        </w:rPr>
        <w:t>.1</w:t>
      </w:r>
      <w:r>
        <w:rPr>
          <w:rFonts w:ascii="宋体" w:hAnsi="宋体" w:cs="宋体"/>
          <w:szCs w:val="21"/>
        </w:rPr>
        <w:t>4</w:t>
      </w:r>
      <w:r>
        <w:rPr>
          <w:rFonts w:hint="eastAsia" w:ascii="宋体" w:hAnsi="宋体" w:cs="宋体"/>
          <w:szCs w:val="21"/>
        </w:rPr>
        <w:t>甲方需及时向乙方支付服务手续费，甲方逾期支付服务手续费或预存款项不足支付当期手续费的，经乙方通知后五个工作日内仍未缴纳的，每逾期一日，需按当期应付金额的千分之一向乙方支付违约金。超过30日未缴纳的，乙方有权直接解除本协议，并要求甲方承担一切法律责任。本协议项下，若因甲方原因造成乙方为其垫资的，乙方有权从甲方待结算资金中进行等额扣划，甲方资金不足划扣的，甲方应在接到乙方通知后五个工作日内返还乙方垫付款项，甲方未及时返还款项的，每逾期一日，按逾期金额的千分之一向乙方支付违约金。超过</w:t>
      </w:r>
      <w:r>
        <w:rPr>
          <w:rFonts w:ascii="宋体" w:hAnsi="宋体" w:cs="宋体"/>
          <w:szCs w:val="21"/>
        </w:rPr>
        <w:t>15</w:t>
      </w:r>
      <w:r>
        <w:rPr>
          <w:rFonts w:hint="eastAsia" w:ascii="宋体" w:hAnsi="宋体" w:cs="宋体"/>
          <w:szCs w:val="21"/>
        </w:rPr>
        <w:t>日未缴纳的，乙方有权终止本协议，并要求甲方承担赔偿责任。</w:t>
      </w:r>
    </w:p>
    <w:p>
      <w:pPr>
        <w:tabs>
          <w:tab w:val="left" w:pos="567"/>
          <w:tab w:val="left" w:pos="993"/>
        </w:tabs>
        <w:suppressAutoHyphens/>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15甲方禁止实施或帮助实施信用卡套现、洗钱、交易分单、虚假申请、侧录、恶意倒闭等非法活动，不得利用乙方受理终端实施诈骗、洗钱、赌博等交易。如乙方通过监测到甲方可能存在前述违法、违规或违约行为，则乙方有权对甲方服务账户采取相应的风险控制措施，包括但不限于限制甲方的服务账户功能、暂缓结算资金款项以及要求甲方补充提</w:t>
      </w:r>
      <w:r>
        <w:rPr>
          <w:rFonts w:ascii="宋体" w:hAnsi="宋体" w:cs="宋体"/>
          <w:szCs w:val="21"/>
        </w:rPr>
        <w:t>供</w:t>
      </w:r>
      <w:r>
        <w:rPr>
          <w:rFonts w:hint="eastAsia" w:ascii="宋体" w:hAnsi="宋体" w:cs="宋体"/>
          <w:szCs w:val="21"/>
        </w:rPr>
        <w:t>交易合法合规的相关证明材料，甲方应给予相应配合。</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ascii="宋体" w:hAnsi="宋体" w:eastAsia="宋体" w:cs="宋体"/>
          <w:color w:val="auto"/>
          <w:szCs w:val="21"/>
        </w:rPr>
      </w:pPr>
      <w:r>
        <w:rPr>
          <w:rFonts w:hint="eastAsia" w:ascii="宋体" w:hAnsi="宋体" w:cs="宋体"/>
          <w:szCs w:val="21"/>
        </w:rPr>
        <w:t>4.1</w:t>
      </w:r>
      <w:r>
        <w:rPr>
          <w:rFonts w:hint="eastAsia" w:ascii="宋体" w:hAnsi="宋体" w:cs="宋体" w:eastAsiaTheme="minorEastAsia"/>
          <w:szCs w:val="21"/>
        </w:rPr>
        <w:t>6</w:t>
      </w:r>
      <w:r>
        <w:rPr>
          <w:rFonts w:hint="eastAsia" w:ascii="宋体" w:hAnsi="宋体" w:eastAsia="宋体" w:cs="宋体"/>
          <w:color w:val="auto"/>
          <w:szCs w:val="21"/>
        </w:rPr>
        <w:t>为更好的为甲方提供支付及相关增值业务服务，甲方同意授权乙方在本协议范围内使用、查询或留存甲方的基本信息、交易记录等，前述信息包括但不限于甲方的商户名称、营业执照号码、法定代表人身份证号、结算账户信息、交易记录等。同时，如因业务需求，应由乙方合作的第三方机构提供前述相关增值服务时，甲方同意授权乙方有权将甲方相关联系及个人相关信息共享提供给合作第三方，包括第三方基于提供增值服务等需通过电话或短信等方式联系甲方，而不需另行再取得甲方单独授权，但乙方转授权给第三方使用甲方的信息，应当遵循合法、合理、相关及必要之原则。甲方如终止该授权或服务需提前书面告知乙方，如因甲方未提前书面告知乙方终止授权所可能给甲方造成的相关不利后果，乙方不承担任何责任。</w:t>
      </w:r>
    </w:p>
    <w:p>
      <w:pPr>
        <w:tabs>
          <w:tab w:val="left" w:pos="567"/>
          <w:tab w:val="left" w:pos="993"/>
        </w:tabs>
        <w:suppressAutoHyphens/>
        <w:spacing w:line="360" w:lineRule="auto"/>
        <w:ind w:firstLine="420" w:firstLineChars="200"/>
        <w:rPr>
          <w:rFonts w:ascii="宋体" w:hAnsi="宋体" w:cs="宋体"/>
          <w:szCs w:val="21"/>
        </w:rPr>
      </w:pPr>
      <w:r>
        <w:rPr>
          <w:rFonts w:hint="eastAsia" w:ascii="宋体" w:hAnsi="宋体" w:cs="宋体"/>
          <w:szCs w:val="21"/>
        </w:rPr>
        <w:t>4.17甲方如向乙方采购受理终端机具的，乙方有权根据甲方采购机具的型号向甲方收取相应金额的押金，机具押金的金额及支付方式以双方另行签订的补充协议或协议附件约定为准。合作终止后，若终端机具无损坏或未出现风险情形，乙方向甲方无息退还押金；若终端机具出现损坏或风险情形，乙方有权视终端机具的受损情况等向甲方收取相应的费用，该费用从甲方已缴交的押金中进行扣除。</w:t>
      </w:r>
    </w:p>
    <w:p>
      <w:pPr>
        <w:tabs>
          <w:tab w:val="left" w:pos="567"/>
        </w:tabs>
        <w:suppressAutoHyphens/>
        <w:spacing w:line="360" w:lineRule="auto"/>
        <w:ind w:firstLine="422" w:firstLineChars="200"/>
        <w:rPr>
          <w:rFonts w:ascii="宋体" w:hAnsi="宋体"/>
          <w:b/>
          <w:szCs w:val="21"/>
        </w:rPr>
      </w:pPr>
      <w:r>
        <w:rPr>
          <w:rFonts w:ascii="宋体" w:hAnsi="宋体"/>
          <w:b/>
          <w:szCs w:val="21"/>
        </w:rPr>
        <w:t>5</w:t>
      </w:r>
      <w:r>
        <w:rPr>
          <w:rFonts w:hint="eastAsia" w:ascii="宋体" w:hAnsi="宋体"/>
          <w:b/>
          <w:szCs w:val="21"/>
          <w:lang w:eastAsia="zh-CN"/>
        </w:rPr>
        <w:t>、</w:t>
      </w:r>
      <w:r>
        <w:rPr>
          <w:rFonts w:hint="eastAsia" w:ascii="宋体" w:hAnsi="宋体"/>
          <w:b/>
          <w:szCs w:val="21"/>
        </w:rPr>
        <w:t>乙方权利和义务</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5.1</w:t>
      </w:r>
      <w:r>
        <w:rPr>
          <w:rFonts w:hint="eastAsia" w:ascii="宋体" w:hAnsi="宋体" w:eastAsia="宋体" w:cs="宋体"/>
          <w:color w:val="auto"/>
          <w:szCs w:val="21"/>
        </w:rPr>
        <w:t>乙方有义务及时处理与乙方支付产品有关的投诉或纠纷，并协助甲方进行处理，并不得因此而影响甲方的声誉和形象或给甲方造成经济损失。</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5.2</w:t>
      </w:r>
      <w:r>
        <w:rPr>
          <w:rFonts w:hint="eastAsia" w:ascii="宋体" w:hAnsi="宋体" w:eastAsia="宋体" w:cs="宋体"/>
          <w:color w:val="auto"/>
          <w:szCs w:val="21"/>
        </w:rPr>
        <w:t>乙方负责支付系统的建设、运行和管理，确保系统的安全性。乙方应向甲方提供在工作时间内相应的技术咨询服务和技术支持。</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5</w:t>
      </w:r>
      <w:r>
        <w:rPr>
          <w:rFonts w:hint="eastAsia" w:ascii="宋体" w:hAnsi="宋体" w:eastAsia="宋体" w:cs="宋体"/>
          <w:color w:val="auto"/>
          <w:szCs w:val="21"/>
        </w:rPr>
        <w:t>.3为了保障服务质量，乙方应根据情况对支付产品的功能和服务进行改动和升级。由于产品和服务的改动升级暂停向甲方提供支付服务的，乙方不承担任何责任。产品、服务改动和升级，乙方提前在官网和商户后台挂出公告并预告恢复日期，不可抗力因素除外。</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5</w:t>
      </w:r>
      <w:r>
        <w:rPr>
          <w:rFonts w:hint="eastAsia" w:ascii="宋体" w:hAnsi="宋体" w:eastAsia="宋体" w:cs="宋体"/>
          <w:color w:val="auto"/>
          <w:szCs w:val="21"/>
        </w:rPr>
        <w:t xml:space="preserve">.4 </w:t>
      </w:r>
      <w:r>
        <w:rPr>
          <w:rFonts w:ascii="宋体" w:hAnsi="宋体" w:eastAsia="宋体" w:cs="宋体"/>
          <w:color w:val="auto"/>
          <w:szCs w:val="21"/>
        </w:rPr>
        <w:t>乙方应为甲方提供账户资金、交易资金的安全存放和及时准确划转服务，并有权按照本协议的规定收取各项服务费用。</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5.5</w:t>
      </w:r>
      <w:r>
        <w:rPr>
          <w:rFonts w:hint="eastAsia" w:ascii="宋体" w:hAnsi="宋体" w:eastAsia="宋体" w:cs="宋体"/>
          <w:color w:val="auto"/>
          <w:szCs w:val="21"/>
        </w:rPr>
        <w:t>为促进支付服务市场健康发展，防范支付风险，保护当事人的合法权益，乙方有权依据相关法律法规和整体运作、风险管理、外部环境等情况，对涉及违法违规、触犯风控规则的业务选择包括但不限于暂停、终止本协议全部或者部分产品服务功能、暂缓结算等措施，并不承担任何违约责任。</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5.6</w:t>
      </w:r>
      <w:r>
        <w:rPr>
          <w:rFonts w:hint="eastAsia" w:ascii="宋体" w:hAnsi="宋体" w:eastAsia="宋体" w:cs="宋体"/>
          <w:color w:val="auto"/>
          <w:szCs w:val="21"/>
        </w:rPr>
        <w:t>乙方对甲方身份资料及支付信息负有保密义务，不得利用甲方的上述信息从事超出法律许可或未经甲方书面授权的活动。乙方应保护甲乙双方合作期内获得的甲方身份基本信息、支付业务信息、会计档案等资料的安全、防止其被篡改、灭失、损毁和泄漏。</w:t>
      </w:r>
    </w:p>
    <w:p>
      <w:pPr>
        <w:tabs>
          <w:tab w:val="left" w:pos="567"/>
        </w:tabs>
        <w:suppressAutoHyphens/>
        <w:spacing w:line="360" w:lineRule="auto"/>
        <w:ind w:firstLine="422" w:firstLineChars="200"/>
        <w:rPr>
          <w:rFonts w:cs="宋体" w:asciiTheme="minorEastAsia" w:hAnsiTheme="minorEastAsia" w:eastAsiaTheme="minorEastAsia"/>
          <w:b/>
          <w:szCs w:val="21"/>
        </w:rPr>
      </w:pPr>
      <w:r>
        <w:rPr>
          <w:rFonts w:cs="宋体" w:asciiTheme="minorEastAsia" w:hAnsiTheme="minorEastAsia" w:eastAsiaTheme="minorEastAsia"/>
          <w:b/>
          <w:szCs w:val="21"/>
        </w:rPr>
        <w:t>6</w:t>
      </w:r>
      <w:r>
        <w:rPr>
          <w:rFonts w:hint="eastAsia" w:cs="宋体" w:asciiTheme="minorEastAsia" w:hAnsiTheme="minorEastAsia" w:eastAsiaTheme="minorEastAsia"/>
          <w:b/>
          <w:szCs w:val="21"/>
          <w:lang w:eastAsia="zh-CN"/>
        </w:rPr>
        <w:t>、</w:t>
      </w:r>
      <w:r>
        <w:rPr>
          <w:rFonts w:hint="eastAsia" w:cs="宋体" w:asciiTheme="minorEastAsia" w:hAnsiTheme="minorEastAsia" w:eastAsiaTheme="minorEastAsia"/>
          <w:b/>
          <w:szCs w:val="21"/>
        </w:rPr>
        <w:t>服务账户</w:t>
      </w:r>
    </w:p>
    <w:p>
      <w:pPr>
        <w:pStyle w:val="10"/>
        <w:tabs>
          <w:tab w:val="left" w:pos="567"/>
          <w:tab w:val="left" w:pos="993"/>
          <w:tab w:val="left" w:pos="1276"/>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6</w:t>
      </w:r>
      <w:r>
        <w:rPr>
          <w:rFonts w:hint="eastAsia" w:ascii="宋体" w:hAnsi="宋体" w:eastAsia="宋体" w:cs="宋体"/>
          <w:color w:val="auto"/>
          <w:szCs w:val="21"/>
        </w:rPr>
        <w:t>.1乙方可根据甲方需要及《银行卡收单业务管理办法》等相关规定，为甲方开立服务账户，根据相关管理办法及产品协议严格管控交易笔数及限额，并提供相关必要的信息查询、技术支付等服务，具体以乙方实际提供的为准。</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6</w:t>
      </w:r>
      <w:r>
        <w:rPr>
          <w:rFonts w:hint="eastAsia" w:ascii="宋体" w:hAnsi="宋体" w:eastAsia="宋体" w:cs="宋体"/>
          <w:color w:val="auto"/>
          <w:szCs w:val="21"/>
        </w:rPr>
        <w:t>.2本协议所描述的服务账户，是基于甲乙双方的合作，由乙方根据甲方的意愿开立，用于记录预付交易资金余额、客户凭以发起支付指令、反映交易明细信息的电子簿记，该服务账户不能透支，不得出借、出租、出售，甲方不得用该服务账户从事或者协助他人从事任何非法活动。</w:t>
      </w:r>
    </w:p>
    <w:p>
      <w:pPr>
        <w:spacing w:line="360" w:lineRule="auto"/>
        <w:ind w:firstLine="420" w:firstLineChars="200"/>
        <w:rPr>
          <w:b/>
        </w:rPr>
      </w:pPr>
      <w:r>
        <w:rPr>
          <w:rFonts w:ascii="宋体" w:hAnsi="宋体" w:cs="宋体"/>
          <w:szCs w:val="21"/>
        </w:rPr>
        <w:t>6.3</w:t>
      </w:r>
      <w:r>
        <w:rPr>
          <w:rFonts w:hint="eastAsia"/>
          <w:b/>
        </w:rPr>
        <w:t>甲方在乙方系统内所申请开立的服务账户所记录的资金余额不同于甲方本人的银行存款，不受《存款保险条例》保护，其实质为：甲方委托支付机构保管的、所有权归属于甲方的预付价值。该预付价值对应的货币资金虽然属于甲方，但不以甲方本人名义存放在银行，而是以支付机构名义存放在人民银行，并且由支付机构向人民银行发起资金调拨指令。对甲方服务账户在本协议有效期内可能产生的资金沉淀，乙方不计算任何利息，甲方对此无异议。</w:t>
      </w:r>
    </w:p>
    <w:p>
      <w:pPr>
        <w:pStyle w:val="10"/>
        <w:tabs>
          <w:tab w:val="left" w:pos="567"/>
          <w:tab w:val="left" w:pos="993"/>
          <w:tab w:val="left" w:pos="1276"/>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cs="宋体" w:asciiTheme="minorEastAsia" w:hAnsiTheme="minorEastAsia" w:eastAsiaTheme="minorEastAsia"/>
          <w:b/>
          <w:szCs w:val="21"/>
        </w:rPr>
      </w:pPr>
      <w:r>
        <w:rPr>
          <w:rFonts w:ascii="宋体" w:hAnsi="宋体" w:eastAsia="宋体" w:cs="宋体"/>
          <w:bCs/>
          <w:color w:val="auto"/>
          <w:szCs w:val="21"/>
        </w:rPr>
        <w:t>6</w:t>
      </w:r>
      <w:r>
        <w:rPr>
          <w:rFonts w:hint="eastAsia" w:ascii="宋体" w:hAnsi="宋体" w:eastAsia="宋体" w:cs="宋体"/>
          <w:bCs/>
          <w:color w:val="auto"/>
          <w:szCs w:val="21"/>
        </w:rPr>
        <w:t>.4</w:t>
      </w:r>
      <w:r>
        <w:rPr>
          <w:rFonts w:hint="eastAsia" w:ascii="宋体" w:hAnsi="宋体" w:eastAsia="宋体" w:cs="宋体"/>
          <w:color w:val="auto"/>
          <w:szCs w:val="21"/>
        </w:rPr>
        <w:t>乙方为甲方提供本协议约定的支付服务，并按照经甲方确认的费用标准向甲方收取相关服务费用。甲方不得将乙方向其收取的服务费用转嫁给用户，甲方与用户另有约定的除外。</w:t>
      </w:r>
    </w:p>
    <w:p>
      <w:pPr>
        <w:pStyle w:val="12"/>
        <w:tabs>
          <w:tab w:val="left" w:pos="567"/>
        </w:tabs>
        <w:suppressAutoHyphens/>
        <w:spacing w:line="360" w:lineRule="auto"/>
        <w:ind w:firstLine="422" w:firstLineChars="200"/>
        <w:rPr>
          <w:rFonts w:cs="宋体" w:asciiTheme="minorEastAsia" w:hAnsiTheme="minorEastAsia" w:eastAsiaTheme="minorEastAsia"/>
          <w:b/>
          <w:szCs w:val="21"/>
        </w:rPr>
      </w:pPr>
      <w:r>
        <w:rPr>
          <w:rFonts w:cs="宋体" w:asciiTheme="minorEastAsia" w:hAnsiTheme="minorEastAsia" w:eastAsiaTheme="minorEastAsia"/>
          <w:b/>
          <w:szCs w:val="21"/>
        </w:rPr>
        <w:t>7</w:t>
      </w:r>
      <w:r>
        <w:rPr>
          <w:rFonts w:hint="eastAsia" w:cs="宋体" w:asciiTheme="minorEastAsia" w:hAnsiTheme="minorEastAsia" w:eastAsiaTheme="minorEastAsia"/>
          <w:b/>
          <w:szCs w:val="21"/>
          <w:lang w:eastAsia="zh-CN"/>
        </w:rPr>
        <w:t>、</w:t>
      </w:r>
      <w:r>
        <w:rPr>
          <w:rFonts w:hint="eastAsia" w:cs="宋体" w:asciiTheme="minorEastAsia" w:hAnsiTheme="minorEastAsia" w:eastAsiaTheme="minorEastAsia"/>
          <w:b/>
          <w:szCs w:val="21"/>
        </w:rPr>
        <w:t>退款处理</w:t>
      </w:r>
    </w:p>
    <w:p>
      <w:pPr>
        <w:spacing w:line="360" w:lineRule="auto"/>
        <w:ind w:firstLine="420" w:firstLineChars="200"/>
      </w:pPr>
      <w:r>
        <w:rPr>
          <w:rFonts w:ascii="宋体" w:hAnsi="宋体" w:cs="宋体"/>
          <w:szCs w:val="21"/>
        </w:rPr>
        <w:t>7</w:t>
      </w:r>
      <w:r>
        <w:rPr>
          <w:rFonts w:hint="eastAsia" w:ascii="宋体" w:hAnsi="宋体" w:cs="宋体"/>
          <w:szCs w:val="21"/>
        </w:rPr>
        <w:t>.1</w:t>
      </w:r>
      <w:r>
        <w:t>如</w:t>
      </w:r>
      <w:r>
        <w:rPr>
          <w:rFonts w:hint="eastAsia"/>
        </w:rPr>
        <w:t>因交易取消（撤销）、交易不成功等原因，造成持卡人需申请退款的，甲方应在交易发生后的30天内提出。如持卡人申请原路退返款项，而待结算资金已通过乙方结算至甲方指定的电子银行账户的，在此，甲方完全同意授权乙方从甲方指定的电子银行账户中等额扣取相应金额款项用于退款操作。退款亦遵循原路退回的原则，退货资金必须退回至交易时持卡人使用的银行卡或支付账户中，乙方承诺不会对应退款款项进行截留或退至其他账号。</w:t>
      </w:r>
    </w:p>
    <w:p>
      <w:pPr>
        <w:spacing w:line="360" w:lineRule="auto"/>
        <w:ind w:firstLine="420" w:firstLineChars="200"/>
      </w:pPr>
      <w:r>
        <w:t>7.2乙方</w:t>
      </w:r>
      <w:r>
        <w:rPr>
          <w:rFonts w:hint="eastAsia"/>
        </w:rPr>
        <w:t>原则上不接受消费者或用户的直接退款指令，乙方有权将消费者或用户的指令转给甲方，并由甲方自行进行处理。但在发生如下情形时，包括但不限于甲方与消费者、用户发生纠纷时，如果甲方存在未发货、退货、欺诈等违法、违约情况，或乙方收到消费者/用户投诉后，在5个工作日内无法与甲方取得联系；或不立即采取退款措施将可能给消费者/用户造成经济损失时，则乙方有权直接向消费者、用户直接进行退款操作，甲方对此无异议。</w:t>
      </w:r>
    </w:p>
    <w:p>
      <w:pPr>
        <w:tabs>
          <w:tab w:val="left" w:pos="567"/>
        </w:tabs>
        <w:suppressAutoHyphens/>
        <w:spacing w:line="360" w:lineRule="auto"/>
        <w:ind w:firstLine="422" w:firstLineChars="200"/>
        <w:rPr>
          <w:rFonts w:ascii="宋体" w:hAnsi="宋体" w:cs="宋体"/>
          <w:b/>
          <w:szCs w:val="21"/>
        </w:rPr>
      </w:pPr>
      <w:r>
        <w:rPr>
          <w:rFonts w:ascii="宋体" w:hAnsi="宋体" w:cs="宋体"/>
          <w:b/>
          <w:szCs w:val="21"/>
        </w:rPr>
        <w:t>8</w:t>
      </w:r>
      <w:r>
        <w:rPr>
          <w:rFonts w:hint="eastAsia" w:ascii="宋体" w:hAnsi="宋体" w:cs="宋体"/>
          <w:b/>
          <w:szCs w:val="21"/>
          <w:lang w:eastAsia="zh-CN"/>
        </w:rPr>
        <w:t>、</w:t>
      </w:r>
      <w:r>
        <w:rPr>
          <w:rFonts w:hint="eastAsia" w:ascii="宋体" w:hAnsi="宋体" w:cs="宋体"/>
          <w:b/>
          <w:szCs w:val="21"/>
        </w:rPr>
        <w:t>违约责任</w:t>
      </w:r>
    </w:p>
    <w:p>
      <w:pPr>
        <w:pStyle w:val="10"/>
        <w:tabs>
          <w:tab w:val="left" w:pos="567"/>
          <w:tab w:val="left" w:pos="993"/>
          <w:tab w:val="left" w:pos="1276"/>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8</w:t>
      </w:r>
      <w:r>
        <w:rPr>
          <w:rFonts w:hint="eastAsia" w:ascii="宋体" w:hAnsi="宋体" w:eastAsia="宋体" w:cs="宋体"/>
          <w:color w:val="auto"/>
          <w:szCs w:val="21"/>
        </w:rPr>
        <w:t>.1任何一方因不具备经营资质和行政许可、违法经营、侵害消费者、用户合法权益等原因所引起的任何行政处罚、民事赔偿，以及其他法律责任，均由该方自行承担。由此给另一方造成损失，应赔偿，情节严重的，另一方有权解除本协议。</w:t>
      </w:r>
    </w:p>
    <w:p>
      <w:pPr>
        <w:pStyle w:val="10"/>
        <w:tabs>
          <w:tab w:val="left" w:pos="567"/>
          <w:tab w:val="left" w:pos="993"/>
          <w:tab w:val="left" w:pos="1276"/>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8</w:t>
      </w:r>
      <w:r>
        <w:rPr>
          <w:rFonts w:hint="eastAsia" w:ascii="宋体" w:hAnsi="宋体" w:eastAsia="宋体" w:cs="宋体"/>
          <w:color w:val="auto"/>
          <w:szCs w:val="21"/>
        </w:rPr>
        <w:t>.2甲方违反本协议中关于甲方业务范围限定的，以及违反本</w:t>
      </w:r>
      <w:r>
        <w:rPr>
          <w:rFonts w:ascii="宋体" w:hAnsi="宋体" w:eastAsia="宋体" w:cs="宋体"/>
          <w:color w:val="auto"/>
          <w:szCs w:val="21"/>
        </w:rPr>
        <w:t>协议</w:t>
      </w:r>
      <w:r>
        <w:rPr>
          <w:rFonts w:hint="eastAsia" w:ascii="宋体" w:hAnsi="宋体" w:eastAsia="宋体" w:cs="宋体"/>
          <w:color w:val="auto"/>
          <w:szCs w:val="21"/>
        </w:rPr>
        <w:t>甲方权利义务项下约定的任一项履约义务的，甲方需承担因违约造成的全部责任，同时乙方有权解除本协议；给乙方造成损失的，甲方应予全额赔偿。赔偿范围包括但不限于债务本金、经济损失、违约金以及乙方为实现债权所产生的诉讼费、公证费、律师费、差旅费等。</w:t>
      </w:r>
    </w:p>
    <w:p>
      <w:pPr>
        <w:pStyle w:val="10"/>
        <w:tabs>
          <w:tab w:val="left" w:pos="567"/>
          <w:tab w:val="left" w:pos="993"/>
          <w:tab w:val="left" w:pos="1276"/>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ascii="宋体" w:hAnsi="宋体" w:eastAsia="宋体" w:cs="宋体"/>
          <w:color w:val="auto"/>
          <w:szCs w:val="21"/>
        </w:rPr>
      </w:pPr>
      <w:r>
        <w:rPr>
          <w:rFonts w:ascii="宋体" w:hAnsi="宋体" w:eastAsia="宋体" w:cs="宋体"/>
          <w:color w:val="auto"/>
          <w:szCs w:val="21"/>
        </w:rPr>
        <w:t>8.3</w:t>
      </w:r>
      <w:r>
        <w:rPr>
          <w:rFonts w:hint="eastAsia" w:ascii="宋体" w:hAnsi="宋体" w:eastAsia="宋体" w:cs="宋体"/>
          <w:color w:val="auto"/>
          <w:szCs w:val="21"/>
        </w:rPr>
        <w:t>因合作银行、监管机构要求等不可抗力因素或乙方以外的其他原因，导致乙方的支付产品不能正常运营或乙方不能及时履行本协议规定义务的，乙方不承担相关的法律责任。由于银行、电信运营商系统的故障、调整升级，或电力终端，或现有技术能力无法防御的黑客攻击、技术故障等原因造成乙方支付服务系统服务无法正常运作的，不视为乙方违约，甲乙双方友好协商解决。如甲方违反本协议的约定，给乙方、用户造成经济损失的，应予赔偿，并且乙方可从甲方风险备用金和待结算资金或支付账户中直接扣除相关损失，不足以抵扣的，甲方还需予以赔偿。</w:t>
      </w:r>
    </w:p>
    <w:p>
      <w:pPr>
        <w:tabs>
          <w:tab w:val="left" w:pos="567"/>
        </w:tabs>
        <w:suppressAutoHyphens/>
        <w:spacing w:line="360" w:lineRule="auto"/>
        <w:ind w:firstLine="422" w:firstLineChars="200"/>
        <w:rPr>
          <w:rFonts w:ascii="宋体" w:hAnsi="宋体" w:cs="宋体"/>
          <w:b/>
          <w:szCs w:val="21"/>
        </w:rPr>
      </w:pPr>
      <w:r>
        <w:rPr>
          <w:rFonts w:ascii="宋体" w:hAnsi="宋体" w:cs="宋体"/>
          <w:b/>
          <w:szCs w:val="21"/>
        </w:rPr>
        <w:t>9</w:t>
      </w:r>
      <w:r>
        <w:rPr>
          <w:rFonts w:hint="eastAsia" w:ascii="宋体" w:hAnsi="宋体" w:cs="宋体"/>
          <w:b/>
          <w:szCs w:val="21"/>
          <w:lang w:eastAsia="zh-CN"/>
        </w:rPr>
        <w:t>、</w:t>
      </w:r>
      <w:r>
        <w:rPr>
          <w:rFonts w:hint="eastAsia" w:ascii="宋体" w:hAnsi="宋体" w:cs="宋体"/>
          <w:b/>
          <w:szCs w:val="21"/>
        </w:rPr>
        <w:t>协议解除</w:t>
      </w: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.1</w:t>
      </w:r>
      <w:r>
        <w:rPr>
          <w:rFonts w:hint="eastAsia" w:ascii="宋体" w:hAnsi="宋体" w:cs="宋体"/>
          <w:szCs w:val="21"/>
          <w:lang w:val="en-US" w:eastAsia="zh-CN"/>
        </w:rPr>
        <w:t xml:space="preserve"> </w:t>
      </w:r>
      <w:r>
        <w:rPr>
          <w:rFonts w:hint="eastAsia" w:ascii="宋体" w:hAnsi="宋体" w:cs="宋体"/>
          <w:szCs w:val="21"/>
        </w:rPr>
        <w:t>乙方有下列情形之一的，甲方有权解除本协议：</w:t>
      </w:r>
    </w:p>
    <w:p>
      <w:pPr>
        <w:spacing w:line="360" w:lineRule="auto"/>
        <w:ind w:left="158" w:leftChars="75" w:firstLine="420" w:firstLineChars="200"/>
        <w:rPr>
          <w:rFonts w:ascii="宋体" w:hAnsi="宋体" w:cs="宋体"/>
          <w:vanish/>
          <w:szCs w:val="21"/>
        </w:rPr>
      </w:pPr>
    </w:p>
    <w:p>
      <w:pPr>
        <w:pStyle w:val="11"/>
        <w:numPr>
          <w:ilvl w:val="255"/>
          <w:numId w:val="0"/>
        </w:numPr>
        <w:tabs>
          <w:tab w:val="left" w:pos="1418"/>
        </w:tabs>
        <w:suppressAutoHyphens/>
        <w:spacing w:line="360" w:lineRule="auto"/>
        <w:ind w:left="158" w:leftChars="75" w:firstLine="420" w:firstLineChars="200"/>
        <w:rPr>
          <w:rFonts w:ascii="宋体" w:hAnsi="宋体" w:cs="宋体"/>
          <w:vanish/>
          <w:szCs w:val="21"/>
        </w:rPr>
      </w:pPr>
    </w:p>
    <w:p>
      <w:pPr>
        <w:pStyle w:val="11"/>
        <w:numPr>
          <w:ilvl w:val="255"/>
          <w:numId w:val="0"/>
        </w:numPr>
        <w:tabs>
          <w:tab w:val="left" w:pos="1418"/>
        </w:tabs>
        <w:suppressAutoHyphens/>
        <w:spacing w:line="360" w:lineRule="auto"/>
        <w:ind w:left="158" w:leftChars="75" w:firstLine="420" w:firstLineChars="200"/>
        <w:rPr>
          <w:rFonts w:ascii="宋体" w:hAnsi="宋体" w:cs="宋体"/>
          <w:vanish/>
          <w:szCs w:val="21"/>
        </w:rPr>
      </w:pP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.1.1</w:t>
      </w:r>
      <w:r>
        <w:rPr>
          <w:rFonts w:hint="eastAsia" w:ascii="宋体" w:hAnsi="宋体" w:cs="宋体"/>
          <w:szCs w:val="21"/>
          <w:lang w:val="en-US" w:eastAsia="zh-CN"/>
        </w:rPr>
        <w:t xml:space="preserve"> </w:t>
      </w:r>
      <w:r>
        <w:rPr>
          <w:rFonts w:hint="eastAsia" w:ascii="宋体" w:hAnsi="宋体" w:cs="宋体"/>
          <w:szCs w:val="21"/>
        </w:rPr>
        <w:t>乙方超过本协议规定的最长结算期限，经甲方通知给予正常的补款时间仍未补款的，但乙方根据本协议约定有权扣款时的情况除外；</w:t>
      </w: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.1.2 乙方存在严重财务危机致使付款能力严重不足，或有破产、清算、解散等情况，且甲方具有足够证</w:t>
      </w:r>
    </w:p>
    <w:p>
      <w:pPr>
        <w:suppressAutoHyphens/>
        <w:spacing w:line="360" w:lineRule="auto"/>
        <w:ind w:firstLine="1050" w:firstLineChars="500"/>
        <w:rPr>
          <w:rFonts w:ascii="宋体" w:hAnsi="宋体" w:cs="宋体"/>
          <w:szCs w:val="21"/>
        </w:rPr>
      </w:pPr>
      <w:r>
        <w:rPr>
          <w:rFonts w:hint="eastAsia" w:ascii="宋体" w:hAnsi="宋体" w:cs="宋体"/>
          <w:szCs w:val="21"/>
        </w:rPr>
        <w:t>据证明的。</w:t>
      </w: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.2 甲方有下列情形之一的，构成甲方根本性违约，甲方需按</w:t>
      </w:r>
      <w:r>
        <w:rPr>
          <w:rFonts w:ascii="宋体" w:hAnsi="宋体" w:cs="宋体"/>
          <w:szCs w:val="21"/>
        </w:rPr>
        <w:t>8.2</w:t>
      </w:r>
      <w:r>
        <w:rPr>
          <w:rFonts w:hint="eastAsia" w:ascii="宋体" w:hAnsi="宋体" w:cs="宋体"/>
          <w:szCs w:val="21"/>
        </w:rPr>
        <w:t>条约定承担违约责任：</w:t>
      </w:r>
    </w:p>
    <w:p>
      <w:pPr>
        <w:spacing w:line="360" w:lineRule="auto"/>
        <w:ind w:left="158" w:leftChars="75" w:firstLine="420" w:firstLineChars="200"/>
        <w:rPr>
          <w:rFonts w:ascii="宋体" w:hAnsi="宋体" w:cs="宋体"/>
          <w:vanish/>
          <w:szCs w:val="21"/>
        </w:rPr>
      </w:pPr>
    </w:p>
    <w:p>
      <w:pPr>
        <w:pStyle w:val="11"/>
        <w:numPr>
          <w:ilvl w:val="255"/>
          <w:numId w:val="0"/>
        </w:numPr>
        <w:tabs>
          <w:tab w:val="left" w:pos="1418"/>
        </w:tabs>
        <w:suppressAutoHyphens/>
        <w:spacing w:line="360" w:lineRule="auto"/>
        <w:ind w:left="158" w:leftChars="75" w:firstLine="420" w:firstLineChars="200"/>
        <w:rPr>
          <w:rFonts w:ascii="宋体" w:hAnsi="宋体" w:cs="宋体"/>
          <w:vanish/>
          <w:szCs w:val="21"/>
        </w:rPr>
      </w:pPr>
    </w:p>
    <w:p>
      <w:pPr>
        <w:pStyle w:val="11"/>
        <w:numPr>
          <w:ilvl w:val="255"/>
          <w:numId w:val="0"/>
        </w:numPr>
        <w:tabs>
          <w:tab w:val="left" w:pos="1418"/>
        </w:tabs>
        <w:suppressAutoHyphens/>
        <w:spacing w:line="360" w:lineRule="auto"/>
        <w:ind w:left="158" w:leftChars="75" w:firstLine="420" w:firstLineChars="200"/>
        <w:rPr>
          <w:rFonts w:ascii="宋体" w:hAnsi="宋体" w:cs="宋体"/>
          <w:vanish/>
          <w:szCs w:val="21"/>
        </w:rPr>
      </w:pP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.2.1 甲方交易中存在过多交易纠纷或过大的交易风险，经双方协商无法解决；甲方涉嫌从事诈骗、洗钱、赌博、传播淫秽色情等违法犯罪活动的；</w:t>
      </w: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.2.2 甲方无理由拒绝受理消费者、用户使用乙方的支付产品进行支付的；</w:t>
      </w: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.2.3 甲方未通过网站提供真实有效的联系方式，或因甲方发生业务变更、终止等情况而未及时通知乙方，乙方在</w:t>
      </w:r>
      <w:r>
        <w:rPr>
          <w:rFonts w:ascii="宋体" w:hAnsi="宋体" w:cs="宋体"/>
          <w:szCs w:val="21"/>
        </w:rPr>
        <w:t>5个工作日内也无法联系到甲方；</w:t>
      </w: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.2.4 银行、电信或行政、司法等部门出具了包括但不限于甲方涉嫌违法或犯罪、终止甲方交易书面通知</w:t>
      </w:r>
    </w:p>
    <w:p>
      <w:pPr>
        <w:suppressAutoHyphens/>
        <w:spacing w:line="360" w:lineRule="auto"/>
        <w:ind w:firstLine="1050" w:firstLineChars="500"/>
        <w:rPr>
          <w:rFonts w:ascii="宋体" w:hAnsi="宋体" w:cs="宋体"/>
          <w:szCs w:val="21"/>
        </w:rPr>
      </w:pPr>
      <w:r>
        <w:rPr>
          <w:rFonts w:hint="eastAsia" w:ascii="宋体" w:hAnsi="宋体" w:cs="宋体"/>
          <w:szCs w:val="21"/>
        </w:rPr>
        <w:t>等文件及材料的；</w:t>
      </w: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.2.5 甲方将乙方的支付接口提供给其他商户的；</w:t>
      </w: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.2.6 甲方因违反法律法规，被有关机构查处或被司法机关立案或介入调查的；</w:t>
      </w: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.2.7 甲方被监管机构、银行卡组织认定为不良商户，或甲方及其法定代表人或负责人在监管机构的风险</w:t>
      </w:r>
    </w:p>
    <w:p>
      <w:pPr>
        <w:suppressAutoHyphens/>
        <w:spacing w:line="360" w:lineRule="auto"/>
        <w:ind w:firstLine="1050" w:firstLineChars="500"/>
        <w:rPr>
          <w:rFonts w:ascii="宋体" w:hAnsi="宋体" w:cs="宋体"/>
          <w:szCs w:val="21"/>
        </w:rPr>
      </w:pPr>
      <w:r>
        <w:rPr>
          <w:rFonts w:hint="eastAsia" w:ascii="宋体" w:hAnsi="宋体" w:cs="宋体"/>
          <w:szCs w:val="21"/>
        </w:rPr>
        <w:t>信息管理系统中存在不良信息的；</w:t>
      </w: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.2.8 甲方经营不善、停业整顿、申请解散或申请破产的；</w:t>
      </w: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.2.9 甲方恶意倒闭、被工商部门注销登记、吊销营业执照的；</w:t>
      </w:r>
    </w:p>
    <w:p>
      <w:pPr>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.2.10 甲方利用乙方的支付服务实施违法或犯罪活动的。</w:t>
      </w:r>
    </w:p>
    <w:p>
      <w:pPr>
        <w:tabs>
          <w:tab w:val="left" w:pos="425"/>
          <w:tab w:val="left" w:pos="1418"/>
        </w:tabs>
        <w:suppressAutoHyphens/>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.2.11 若本协议提前解除或者终止，甲乙双方应商定账户关闭时间等终止事宜。甲乙双方进行账户资金清</w:t>
      </w:r>
    </w:p>
    <w:p>
      <w:pPr>
        <w:tabs>
          <w:tab w:val="left" w:pos="425"/>
          <w:tab w:val="left" w:pos="1418"/>
        </w:tabs>
        <w:suppressAutoHyphens/>
        <w:spacing w:line="360" w:lineRule="auto"/>
        <w:ind w:firstLine="1260" w:firstLineChars="600"/>
        <w:rPr>
          <w:rFonts w:cs="宋体" w:asciiTheme="minorEastAsia" w:hAnsiTheme="minorEastAsia"/>
          <w:b/>
          <w:bCs/>
          <w:szCs w:val="21"/>
        </w:rPr>
      </w:pPr>
      <w:r>
        <w:rPr>
          <w:rFonts w:hint="eastAsia" w:ascii="宋体" w:hAnsi="宋体" w:cs="宋体"/>
          <w:szCs w:val="21"/>
        </w:rPr>
        <w:t>算，由乙方在其网站上发出公告，说明情况，告知用户在约定时间内取现。</w:t>
      </w:r>
    </w:p>
    <w:p>
      <w:pPr>
        <w:tabs>
          <w:tab w:val="left" w:pos="567"/>
        </w:tabs>
        <w:suppressAutoHyphens/>
        <w:spacing w:line="360" w:lineRule="auto"/>
        <w:ind w:firstLine="422" w:firstLineChars="200"/>
        <w:rPr>
          <w:rFonts w:cs="宋体" w:asciiTheme="minorEastAsia" w:hAnsiTheme="minorEastAsia"/>
          <w:b/>
          <w:bCs/>
          <w:szCs w:val="21"/>
        </w:rPr>
      </w:pPr>
      <w:r>
        <w:rPr>
          <w:rFonts w:cs="宋体" w:asciiTheme="minorEastAsia" w:hAnsiTheme="minorEastAsia"/>
          <w:b/>
          <w:bCs/>
          <w:szCs w:val="21"/>
        </w:rPr>
        <w:t>10</w:t>
      </w:r>
      <w:r>
        <w:rPr>
          <w:rFonts w:hint="eastAsia" w:cs="宋体" w:asciiTheme="minorEastAsia" w:hAnsiTheme="minorEastAsia"/>
          <w:b/>
          <w:bCs/>
          <w:szCs w:val="21"/>
          <w:lang w:eastAsia="zh-CN"/>
        </w:rPr>
        <w:t>、</w:t>
      </w:r>
      <w:r>
        <w:rPr>
          <w:rFonts w:hint="eastAsia" w:cs="宋体" w:asciiTheme="minorEastAsia" w:hAnsiTheme="minorEastAsia"/>
          <w:b/>
          <w:bCs/>
          <w:szCs w:val="21"/>
        </w:rPr>
        <w:t>风险控制相关约定</w:t>
      </w:r>
    </w:p>
    <w:p>
      <w:pPr>
        <w:tabs>
          <w:tab w:val="left" w:pos="567"/>
          <w:tab w:val="left" w:pos="993"/>
        </w:tabs>
        <w:suppressAutoHyphens/>
        <w:spacing w:line="360" w:lineRule="auto"/>
        <w:ind w:firstLine="420" w:firstLineChars="200"/>
        <w:rPr>
          <w:rFonts w:cs="宋体" w:asciiTheme="minorEastAsia" w:hAnsiTheme="minorEastAsia"/>
          <w:szCs w:val="21"/>
        </w:rPr>
      </w:pPr>
      <w:r>
        <w:rPr>
          <w:rFonts w:cs="宋体" w:asciiTheme="minorEastAsia" w:hAnsiTheme="minorEastAsia"/>
          <w:szCs w:val="21"/>
        </w:rPr>
        <w:t>10</w:t>
      </w:r>
      <w:r>
        <w:rPr>
          <w:rFonts w:hint="eastAsia" w:cs="宋体" w:asciiTheme="minorEastAsia" w:hAnsiTheme="minorEastAsia"/>
          <w:szCs w:val="21"/>
        </w:rPr>
        <w:t>.1乙方为甲方提供本协议项下支付服务，但并不介入甲方的商业行为，不承担甲方因违约所带来的任何损失，对甲方经营也不承担任何担保责任。甲方应确保乙方不因甲方的商业行为承受声誉损失、债务、索赔等，若出现上述情形，甲方应自行承担责任、损失或风险。若因甲方的行为给乙方造成任何损失，乙方有权向甲方要求赔偿。</w:t>
      </w:r>
    </w:p>
    <w:p>
      <w:pPr>
        <w:tabs>
          <w:tab w:val="left" w:pos="567"/>
          <w:tab w:val="left" w:pos="993"/>
        </w:tabs>
        <w:suppressAutoHyphens/>
        <w:spacing w:line="360" w:lineRule="auto"/>
        <w:ind w:firstLine="420" w:firstLineChars="200"/>
        <w:rPr>
          <w:rFonts w:cs="宋体" w:asciiTheme="minorEastAsia" w:hAnsiTheme="minorEastAsia"/>
          <w:szCs w:val="21"/>
        </w:rPr>
      </w:pPr>
      <w:r>
        <w:rPr>
          <w:rFonts w:cs="宋体" w:asciiTheme="minorEastAsia" w:hAnsiTheme="minorEastAsia"/>
          <w:szCs w:val="21"/>
        </w:rPr>
        <w:t>10.2</w:t>
      </w:r>
      <w:r>
        <w:rPr>
          <w:rFonts w:hint="eastAsia" w:cs="宋体" w:asciiTheme="minorEastAsia" w:hAnsiTheme="minorEastAsia"/>
          <w:szCs w:val="21"/>
        </w:rPr>
        <w:t>对于甲方将乙方所提供的服务应用于本协议约定业务范围之外而产生的交易导致持卡人被盗卡、拒付等投诉，给乙方造成实际损失的，甲方均应当无条件全额对持卡人或银行或乙方进行赔付，甲方未进行赔付的，乙方通知甲方后，乙方可直接从甲方风险备用金和待结算资金中进行扣除，</w:t>
      </w:r>
      <w:r>
        <w:rPr>
          <w:rFonts w:hint="eastAsia" w:ascii="宋体" w:hAnsi="宋体" w:cs="宋体"/>
          <w:szCs w:val="21"/>
        </w:rPr>
        <w:t>若该款项不足以抵扣的，甲方还需另行赔偿。</w:t>
      </w:r>
    </w:p>
    <w:p>
      <w:pPr>
        <w:tabs>
          <w:tab w:val="left" w:pos="567"/>
          <w:tab w:val="left" w:pos="993"/>
        </w:tabs>
        <w:suppressAutoHyphens/>
        <w:spacing w:line="360" w:lineRule="auto"/>
        <w:ind w:firstLine="420" w:firstLineChars="200"/>
        <w:rPr>
          <w:rFonts w:cs="宋体" w:asciiTheme="minorEastAsia" w:hAnsiTheme="minorEastAsia"/>
          <w:szCs w:val="21"/>
        </w:rPr>
      </w:pPr>
      <w:r>
        <w:rPr>
          <w:rFonts w:cs="宋体" w:asciiTheme="minorEastAsia" w:hAnsiTheme="minorEastAsia"/>
          <w:szCs w:val="21"/>
        </w:rPr>
        <w:t>10</w:t>
      </w:r>
      <w:r>
        <w:rPr>
          <w:rFonts w:hint="eastAsia" w:cs="宋体" w:asciiTheme="minorEastAsia" w:hAnsiTheme="minorEastAsia"/>
          <w:szCs w:val="21"/>
        </w:rPr>
        <w:t>.</w:t>
      </w:r>
      <w:r>
        <w:rPr>
          <w:rFonts w:cs="宋体" w:asciiTheme="minorEastAsia" w:hAnsiTheme="minorEastAsia"/>
          <w:szCs w:val="21"/>
        </w:rPr>
        <w:t>3</w:t>
      </w:r>
      <w:r>
        <w:rPr>
          <w:rFonts w:hint="eastAsia" w:cs="宋体" w:asciiTheme="minorEastAsia" w:hAnsiTheme="minorEastAsia"/>
          <w:szCs w:val="21"/>
        </w:rPr>
        <w:t>为了保护甲方、乙方、持卡人、银行的共同利益，乙方有权对提供</w:t>
      </w:r>
      <w:r>
        <w:rPr>
          <w:rFonts w:hint="eastAsia" w:asciiTheme="minorEastAsia" w:hAnsiTheme="minorEastAsia"/>
          <w:szCs w:val="21"/>
        </w:rPr>
        <w:t>的支付服务进行限额、限次管理</w:t>
      </w:r>
      <w:r>
        <w:rPr>
          <w:rFonts w:hint="eastAsia" w:cs="宋体" w:asciiTheme="minorEastAsia" w:hAnsiTheme="minorEastAsia"/>
          <w:szCs w:val="21"/>
        </w:rPr>
        <w:t>，并有权根据甲方的交易和投诉等情况对限额、限次做出调整，除银行主观原因降低限额或其他不可抗力因素外。</w:t>
      </w:r>
    </w:p>
    <w:p>
      <w:pPr>
        <w:tabs>
          <w:tab w:val="left" w:pos="567"/>
          <w:tab w:val="left" w:pos="993"/>
        </w:tabs>
        <w:suppressAutoHyphens/>
        <w:spacing w:line="360" w:lineRule="auto"/>
        <w:ind w:firstLine="420" w:firstLineChars="200"/>
        <w:rPr>
          <w:rFonts w:cs="宋体" w:asciiTheme="minorEastAsia" w:hAnsiTheme="minorEastAsia"/>
          <w:szCs w:val="21"/>
        </w:rPr>
      </w:pPr>
      <w:r>
        <w:rPr>
          <w:rFonts w:cs="宋体" w:asciiTheme="minorEastAsia" w:hAnsiTheme="minorEastAsia"/>
          <w:szCs w:val="21"/>
        </w:rPr>
        <w:t>10</w:t>
      </w:r>
      <w:r>
        <w:rPr>
          <w:rFonts w:hint="eastAsia" w:cs="宋体" w:asciiTheme="minorEastAsia" w:hAnsiTheme="minorEastAsia"/>
          <w:szCs w:val="21"/>
        </w:rPr>
        <w:t>.</w:t>
      </w:r>
      <w:r>
        <w:rPr>
          <w:rFonts w:cs="宋体" w:asciiTheme="minorEastAsia" w:hAnsiTheme="minorEastAsia"/>
          <w:szCs w:val="21"/>
        </w:rPr>
        <w:t>4</w:t>
      </w:r>
      <w:r>
        <w:rPr>
          <w:rFonts w:hint="eastAsia" w:cs="宋体" w:asciiTheme="minorEastAsia" w:hAnsiTheme="minorEastAsia"/>
          <w:szCs w:val="21"/>
        </w:rPr>
        <w:t>甲方发生以下情形时（包含但不限于用户投诉、发生可疑交易、欺诈交易、洗钱、偷税、盗卡销赃）遭到银行、公安、司法、或其他监管机构检查、法律法规要求提供的涉嫌违法犯罪等机关的调查，甲方有义务随时配合协助乙方调查相关案件、冻结可疑账户，提供完整的客户资料和交易数据或凭证。同时，乙方有权根据情节严重程度采取包括但不限于冻结账户、账户功能限制等措施。如该笔交易的款项已经划拨给甲方，则乙方有权从后续交易中冻结相当数额的款项。经银行审查甲方提交的资料后，认为甲方应当赔付的，甲方应当无条件全额对持卡人或银行或乙方进行赔付，经审查后认为不需要赔付的，乙方应及时对甲方待结算资金中的该笔</w:t>
      </w:r>
      <w:r>
        <w:rPr>
          <w:rFonts w:cs="宋体" w:asciiTheme="minorEastAsia" w:hAnsiTheme="minorEastAsia"/>
          <w:szCs w:val="21"/>
        </w:rPr>
        <w:t>/相应资金进行解冻。</w:t>
      </w:r>
    </w:p>
    <w:p>
      <w:pPr>
        <w:tabs>
          <w:tab w:val="left" w:pos="567"/>
          <w:tab w:val="left" w:pos="993"/>
        </w:tabs>
        <w:suppressAutoHyphens/>
        <w:spacing w:line="360" w:lineRule="auto"/>
        <w:ind w:firstLine="420" w:firstLineChars="200"/>
        <w:rPr>
          <w:rFonts w:cs="宋体" w:asciiTheme="minorEastAsia" w:hAnsiTheme="minorEastAsia"/>
          <w:szCs w:val="21"/>
        </w:rPr>
      </w:pPr>
      <w:r>
        <w:rPr>
          <w:rFonts w:cs="宋体" w:asciiTheme="minorEastAsia" w:hAnsiTheme="minorEastAsia"/>
          <w:szCs w:val="21"/>
        </w:rPr>
        <w:t>10</w:t>
      </w:r>
      <w:r>
        <w:rPr>
          <w:rFonts w:hint="eastAsia" w:cs="宋体" w:asciiTheme="minorEastAsia" w:hAnsiTheme="minorEastAsia"/>
          <w:szCs w:val="21"/>
        </w:rPr>
        <w:t>.</w:t>
      </w:r>
      <w:r>
        <w:rPr>
          <w:rFonts w:cs="宋体" w:asciiTheme="minorEastAsia" w:hAnsiTheme="minorEastAsia"/>
          <w:szCs w:val="21"/>
        </w:rPr>
        <w:t>5</w:t>
      </w:r>
      <w:r>
        <w:rPr>
          <w:rFonts w:hint="eastAsia" w:cs="宋体" w:asciiTheme="minorEastAsia" w:hAnsiTheme="minorEastAsia"/>
          <w:szCs w:val="21"/>
        </w:rPr>
        <w:t>在甲方实际商务交易过程中如因可归责于甲方的原因而引发的交易纠纷、盗卡销赃、洗钱、偷税等问题导致出现持卡人拒付或否认交易的风险时，乙方有权根据风险情况解除本协议，并不承担任何责任。</w:t>
      </w:r>
    </w:p>
    <w:p>
      <w:pPr>
        <w:tabs>
          <w:tab w:val="left" w:pos="567"/>
          <w:tab w:val="left" w:pos="993"/>
        </w:tabs>
        <w:suppressAutoHyphens/>
        <w:spacing w:line="360" w:lineRule="auto"/>
        <w:ind w:firstLine="420" w:firstLineChars="200"/>
        <w:rPr>
          <w:rFonts w:cs="宋体" w:asciiTheme="minorEastAsia" w:hAnsiTheme="minorEastAsia"/>
          <w:szCs w:val="21"/>
        </w:rPr>
      </w:pPr>
      <w:bookmarkStart w:id="0" w:name="OLE_LINK3"/>
      <w:r>
        <w:rPr>
          <w:rFonts w:cs="宋体" w:asciiTheme="minorEastAsia" w:hAnsiTheme="minorEastAsia"/>
          <w:szCs w:val="21"/>
        </w:rPr>
        <w:t>10</w:t>
      </w:r>
      <w:r>
        <w:rPr>
          <w:rFonts w:hint="eastAsia" w:cs="宋体" w:asciiTheme="minorEastAsia" w:hAnsiTheme="minorEastAsia"/>
          <w:szCs w:val="21"/>
        </w:rPr>
        <w:t>.</w:t>
      </w:r>
      <w:r>
        <w:rPr>
          <w:rFonts w:cs="宋体" w:asciiTheme="minorEastAsia" w:hAnsiTheme="minorEastAsia"/>
          <w:szCs w:val="21"/>
        </w:rPr>
        <w:t>6</w:t>
      </w:r>
      <w:r>
        <w:rPr>
          <w:rFonts w:hint="eastAsia" w:cs="宋体" w:asciiTheme="minorEastAsia" w:hAnsiTheme="minorEastAsia"/>
          <w:szCs w:val="21"/>
        </w:rPr>
        <w:t>由于甲方交易导致发生持卡人或乙方损失或导致损失扩大或乙方收到来自银行方面的赔付通知，甲方应向持卡人或乙方做出相应赔偿，如乙方已经向银行或受害人先行赔付的，乙方通知甲方后，乙方有权从甲方的风险备用金和待结算资金中直接扣除款项，并偿还银行，</w:t>
      </w:r>
      <w:r>
        <w:rPr>
          <w:rFonts w:hint="eastAsia" w:ascii="宋体" w:hAnsi="宋体" w:cs="宋体"/>
          <w:szCs w:val="21"/>
        </w:rPr>
        <w:t>若该款项不足以抵扣的，甲方还需另行赔偿。</w:t>
      </w:r>
      <w:bookmarkEnd w:id="0"/>
    </w:p>
    <w:p>
      <w:pPr>
        <w:tabs>
          <w:tab w:val="left" w:pos="576"/>
          <w:tab w:val="left" w:pos="993"/>
        </w:tabs>
        <w:suppressAutoHyphens/>
        <w:spacing w:line="360" w:lineRule="auto"/>
        <w:ind w:firstLine="420" w:firstLineChars="200"/>
        <w:rPr>
          <w:b/>
          <w:bCs/>
        </w:rPr>
      </w:pPr>
      <w:r>
        <w:rPr>
          <w:rFonts w:cs="宋体" w:asciiTheme="minorEastAsia" w:hAnsiTheme="minorEastAsia"/>
          <w:szCs w:val="21"/>
        </w:rPr>
        <w:t>10</w:t>
      </w:r>
      <w:r>
        <w:rPr>
          <w:rFonts w:hint="eastAsia" w:cs="宋体" w:asciiTheme="minorEastAsia" w:hAnsiTheme="minorEastAsia"/>
          <w:szCs w:val="21"/>
        </w:rPr>
        <w:t>.</w:t>
      </w:r>
      <w:r>
        <w:rPr>
          <w:rFonts w:cs="宋体" w:asciiTheme="minorEastAsia" w:hAnsiTheme="minorEastAsia"/>
          <w:szCs w:val="21"/>
        </w:rPr>
        <w:t>7</w:t>
      </w:r>
      <w:r>
        <w:rPr>
          <w:rFonts w:hint="eastAsia" w:cs="宋体" w:asciiTheme="minorEastAsia" w:hAnsiTheme="minorEastAsia"/>
          <w:szCs w:val="21"/>
        </w:rPr>
        <w:t>为保障甲方在暂停使用乙方服务期间的账户资金安全，乙方对沉默账户有如下处理措施：甲方连续</w:t>
      </w:r>
      <w:r>
        <w:rPr>
          <w:rFonts w:cs="宋体" w:asciiTheme="minorEastAsia" w:hAnsiTheme="minorEastAsia"/>
          <w:szCs w:val="21"/>
        </w:rPr>
        <w:t>3个月（含3个月）在乙方的账户无交易发生，则乙方有权暂时冻结甲方的账户。甲方需要恢复使用时须提出申请经乙方审批同意即可；甲方连续12个月（含12个月）账户无交易发生，则乙方有权关闭其账户，此后该账户不再启用，甲方可向乙方申请终止清算。</w:t>
      </w:r>
      <w:bookmarkStart w:id="1" w:name="OLE_LINK1"/>
    </w:p>
    <w:p>
      <w:pPr>
        <w:spacing w:line="360" w:lineRule="auto"/>
        <w:ind w:firstLine="422" w:firstLineChars="200"/>
        <w:rPr>
          <w:b/>
          <w:bCs/>
        </w:rPr>
      </w:pPr>
      <w:r>
        <w:rPr>
          <w:rFonts w:hint="eastAsia"/>
          <w:b/>
          <w:bCs/>
        </w:rPr>
        <w:t>11</w:t>
      </w:r>
      <w:r>
        <w:rPr>
          <w:rFonts w:hint="eastAsia"/>
          <w:b/>
          <w:bCs/>
          <w:lang w:eastAsia="zh-CN"/>
        </w:rPr>
        <w:t>、</w:t>
      </w:r>
      <w:r>
        <w:rPr>
          <w:rFonts w:hint="eastAsia"/>
          <w:b/>
          <w:bCs/>
        </w:rPr>
        <w:t>客户信息保护</w:t>
      </w:r>
    </w:p>
    <w:bookmarkEnd w:id="1"/>
    <w:p>
      <w:pPr>
        <w:spacing w:line="360" w:lineRule="auto"/>
        <w:ind w:firstLine="420" w:firstLineChars="200"/>
      </w:pPr>
      <w:r>
        <w:t>11.1</w:t>
      </w:r>
      <w:r>
        <w:rPr>
          <w:rFonts w:hint="eastAsia"/>
        </w:rPr>
        <w:t>甲方</w:t>
      </w:r>
      <w:r>
        <w:t>应严格遵守</w:t>
      </w:r>
      <w:r>
        <w:rPr>
          <w:rFonts w:hint="eastAsia"/>
        </w:rPr>
        <w:t>《银联卡账户信息和交易数据安全管理规则》等相关规定，</w:t>
      </w:r>
      <w:r>
        <w:t>不得以任何方式存储、窃取用户</w:t>
      </w:r>
      <w:r>
        <w:rPr>
          <w:rFonts w:hint="eastAsia"/>
        </w:rPr>
        <w:t>/持卡人</w:t>
      </w:r>
      <w:r>
        <w:t>银行卡的磁道信息或芯片信息、验证码、密码、CVV2、银行卡有效期、支付交易密码等任何敏感信息，不得泄漏用户</w:t>
      </w:r>
      <w:r>
        <w:rPr>
          <w:rFonts w:hint="eastAsia"/>
        </w:rPr>
        <w:t>/持卡人</w:t>
      </w:r>
      <w:r>
        <w:t>身份信息和账户信息等。</w:t>
      </w:r>
      <w:r>
        <w:rPr>
          <w:rFonts w:hint="eastAsia"/>
        </w:rPr>
        <w:t>乙方</w:t>
      </w:r>
      <w:r>
        <w:t>有权对</w:t>
      </w:r>
      <w:r>
        <w:rPr>
          <w:rFonts w:hint="eastAsia"/>
        </w:rPr>
        <w:t>甲方</w:t>
      </w:r>
      <w:r>
        <w:t>采取定期检查、技术检测等必要监督措施。</w:t>
      </w:r>
      <w:r>
        <w:rPr>
          <w:rFonts w:hint="eastAsia"/>
        </w:rPr>
        <w:t>甲方</w:t>
      </w:r>
      <w:r>
        <w:t>违反本条约定的储存用户</w:t>
      </w:r>
      <w:r>
        <w:rPr>
          <w:rFonts w:hint="eastAsia"/>
        </w:rPr>
        <w:t>/持卡人</w:t>
      </w:r>
      <w:r>
        <w:t>上述敏感信息的，</w:t>
      </w:r>
      <w:r>
        <w:rPr>
          <w:rFonts w:hint="eastAsia"/>
        </w:rPr>
        <w:t>乙方</w:t>
      </w:r>
      <w:r>
        <w:t>有权立即解除本协议，采取有效措施删除敏感信息，防止信息泄露；同时，</w:t>
      </w:r>
      <w:r>
        <w:rPr>
          <w:rFonts w:hint="eastAsia"/>
        </w:rPr>
        <w:t>甲方</w:t>
      </w:r>
      <w:r>
        <w:t>应承担相关信息泄露给</w:t>
      </w:r>
      <w:r>
        <w:rPr>
          <w:rFonts w:hint="eastAsia"/>
        </w:rPr>
        <w:t>乙方</w:t>
      </w:r>
      <w:r>
        <w:t>及相关用户</w:t>
      </w:r>
      <w:r>
        <w:rPr>
          <w:rFonts w:hint="eastAsia"/>
        </w:rPr>
        <w:t>/持卡人</w:t>
      </w:r>
      <w:r>
        <w:t>造成的损失和责任；涉及刑事犯罪的，乙方有权移交司法机关进行处理。</w:t>
      </w:r>
    </w:p>
    <w:p>
      <w:pPr>
        <w:spacing w:line="360" w:lineRule="auto"/>
        <w:ind w:firstLine="420" w:firstLineChars="200"/>
      </w:pPr>
      <w:r>
        <w:t>11.2如果发现</w:t>
      </w:r>
      <w:r>
        <w:rPr>
          <w:rFonts w:hint="eastAsia"/>
        </w:rPr>
        <w:t>甲方存在</w:t>
      </w:r>
      <w:r>
        <w:t>伪造或变造客户</w:t>
      </w:r>
      <w:r>
        <w:rPr>
          <w:rFonts w:hint="eastAsia"/>
        </w:rPr>
        <w:t>/用户</w:t>
      </w:r>
      <w:r>
        <w:t>信息资料，留存、窃取或泄露银行卡敏感信息，实施、参与或协助银行卡欺诈、套现、洗钱等恶性违法违规行为，</w:t>
      </w:r>
      <w:r>
        <w:rPr>
          <w:rFonts w:hint="eastAsia"/>
        </w:rPr>
        <w:t>乙方</w:t>
      </w:r>
      <w:r>
        <w:t>有权立即解除本协议并由</w:t>
      </w:r>
      <w:r>
        <w:rPr>
          <w:rFonts w:hint="eastAsia"/>
        </w:rPr>
        <w:t>甲方</w:t>
      </w:r>
      <w:r>
        <w:t>应承担给</w:t>
      </w:r>
      <w:r>
        <w:rPr>
          <w:rFonts w:hint="eastAsia"/>
        </w:rPr>
        <w:t>乙方</w:t>
      </w:r>
      <w:r>
        <w:t>及相关用户造成的损失和责任；涉及刑事犯罪的，</w:t>
      </w:r>
      <w:r>
        <w:rPr>
          <w:rFonts w:hint="eastAsia"/>
        </w:rPr>
        <w:t>乙方</w:t>
      </w:r>
      <w:r>
        <w:t>有权移交司法机关进行处理。</w:t>
      </w:r>
    </w:p>
    <w:p>
      <w:pPr>
        <w:tabs>
          <w:tab w:val="left" w:pos="567"/>
        </w:tabs>
        <w:suppressAutoHyphens/>
        <w:spacing w:line="360" w:lineRule="auto"/>
        <w:ind w:firstLine="422" w:firstLineChars="200"/>
        <w:rPr>
          <w:rFonts w:ascii="宋体" w:hAnsi="宋体" w:cs="宋体"/>
          <w:b/>
          <w:bCs/>
          <w:szCs w:val="21"/>
        </w:rPr>
      </w:pPr>
      <w:r>
        <w:rPr>
          <w:rFonts w:hint="eastAsia" w:ascii="宋体" w:hAnsi="宋体" w:cs="宋体"/>
          <w:b/>
          <w:bCs/>
          <w:szCs w:val="21"/>
        </w:rPr>
        <w:t>1</w:t>
      </w:r>
      <w:r>
        <w:rPr>
          <w:rFonts w:ascii="宋体" w:hAnsi="宋体" w:cs="宋体"/>
          <w:b/>
          <w:bCs/>
          <w:szCs w:val="21"/>
        </w:rPr>
        <w:t>2</w:t>
      </w:r>
      <w:r>
        <w:rPr>
          <w:rFonts w:hint="eastAsia" w:ascii="宋体" w:hAnsi="宋体" w:cs="宋体"/>
          <w:b/>
          <w:bCs/>
          <w:szCs w:val="21"/>
          <w:lang w:eastAsia="zh-CN"/>
        </w:rPr>
        <w:t>、</w:t>
      </w:r>
      <w:r>
        <w:rPr>
          <w:rFonts w:hint="eastAsia" w:ascii="宋体" w:hAnsi="宋体" w:cs="宋体"/>
          <w:b/>
          <w:bCs/>
          <w:szCs w:val="21"/>
        </w:rPr>
        <w:t>保密条款</w:t>
      </w:r>
    </w:p>
    <w:p>
      <w:pPr>
        <w:tabs>
          <w:tab w:val="left" w:pos="567"/>
          <w:tab w:val="left" w:pos="993"/>
        </w:tabs>
        <w:suppressAutoHyphens/>
        <w:spacing w:line="360" w:lineRule="auto"/>
        <w:ind w:firstLine="420" w:firstLineChars="200"/>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2</w:t>
      </w:r>
      <w:r>
        <w:rPr>
          <w:rFonts w:hint="eastAsia" w:cs="宋体" w:asciiTheme="minorEastAsia" w:hAnsiTheme="minorEastAsia"/>
          <w:szCs w:val="21"/>
        </w:rPr>
        <w:t>.1保密信息：指甲乙双方自己所有的或其股东及其他关联公司所有或专有的，或提供方负有保密义务的有关第三方的下列资料及所有在信息载体上明确标示“保密”的材料和信息。需保密材料包括但不限于：业务记录和计划、贸易机密、技术资料、产品设计信息、价格结构、成本等非公开的、保密的或专业的信息和数据。</w:t>
      </w:r>
    </w:p>
    <w:p>
      <w:pPr>
        <w:tabs>
          <w:tab w:val="left" w:pos="567"/>
          <w:tab w:val="left" w:pos="993"/>
        </w:tabs>
        <w:suppressAutoHyphens/>
        <w:spacing w:line="360" w:lineRule="auto"/>
        <w:ind w:firstLine="420" w:firstLineChars="200"/>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2</w:t>
      </w:r>
      <w:r>
        <w:rPr>
          <w:rFonts w:hint="eastAsia" w:cs="宋体" w:asciiTheme="minorEastAsia" w:hAnsiTheme="minorEastAsia"/>
          <w:szCs w:val="21"/>
        </w:rPr>
        <w:t>.2甲乙双方应对对方的保密信息谨慎、妥善持有，并严格保密，没有提供方事先书面同意，接受方不得向任何第三方披露；接受方仅可为双方合作之必需，将保密信息披露给其指定的第三方公司或其直接或间接参与合作事项的管理人员、职员、顾问和其他雇员（统称“有关人员”），但应保证第三方公司或该类有关人员对保密信息严格保密。若具有权力的司法、行政、立法机构要求接受方披露保密信息，接受方将有权进行披露。</w:t>
      </w:r>
    </w:p>
    <w:p>
      <w:pPr>
        <w:tabs>
          <w:tab w:val="left" w:pos="567"/>
          <w:tab w:val="left" w:pos="993"/>
        </w:tabs>
        <w:suppressAutoHyphens/>
        <w:spacing w:line="360" w:lineRule="auto"/>
        <w:ind w:firstLine="420" w:firstLineChars="200"/>
        <w:rPr>
          <w:rFonts w:cs="宋体" w:asciiTheme="minorEastAsia" w:hAnsiTheme="minorEastAsia"/>
          <w:szCs w:val="21"/>
        </w:rPr>
      </w:pPr>
      <w:r>
        <w:rPr>
          <w:rFonts w:hint="eastAsia" w:cs="宋体" w:asciiTheme="minorEastAsia" w:hAnsiTheme="minorEastAsia"/>
          <w:szCs w:val="21"/>
        </w:rPr>
        <w:t>12.3上述保密义务不因本协议的终止而失效。</w:t>
      </w:r>
    </w:p>
    <w:p>
      <w:pPr>
        <w:tabs>
          <w:tab w:val="left" w:pos="567"/>
          <w:tab w:val="left" w:pos="993"/>
        </w:tabs>
        <w:suppressAutoHyphens/>
        <w:spacing w:line="360" w:lineRule="auto"/>
        <w:ind w:firstLine="422" w:firstLineChars="200"/>
        <w:rPr>
          <w:rFonts w:ascii="宋体" w:hAnsi="宋体" w:cs="宋体"/>
          <w:b/>
          <w:bCs/>
          <w:szCs w:val="21"/>
        </w:rPr>
      </w:pPr>
      <w:r>
        <w:rPr>
          <w:rFonts w:hint="eastAsia" w:ascii="宋体" w:hAnsi="宋体" w:cs="宋体"/>
          <w:b/>
          <w:bCs/>
          <w:szCs w:val="21"/>
        </w:rPr>
        <w:t>13</w:t>
      </w:r>
      <w:r>
        <w:rPr>
          <w:rFonts w:hint="eastAsia" w:ascii="宋体" w:hAnsi="宋体" w:cs="宋体"/>
          <w:b/>
          <w:bCs/>
          <w:szCs w:val="21"/>
          <w:lang w:eastAsia="zh-CN"/>
        </w:rPr>
        <w:t>、</w:t>
      </w:r>
      <w:r>
        <w:rPr>
          <w:rFonts w:hint="eastAsia" w:ascii="宋体" w:hAnsi="宋体" w:cs="宋体"/>
          <w:b/>
          <w:bCs/>
          <w:szCs w:val="21"/>
        </w:rPr>
        <w:t>隐私政策</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eastAsia="宋体" w:cs="宋体" w:asciiTheme="minorEastAsia" w:hAnsiTheme="minorEastAsia"/>
          <w:color w:val="auto"/>
          <w:szCs w:val="21"/>
        </w:rPr>
      </w:pPr>
      <w:r>
        <w:rPr>
          <w:rFonts w:eastAsia="宋体" w:cs="宋体" w:asciiTheme="minorEastAsia" w:hAnsiTheme="minorEastAsia"/>
          <w:color w:val="auto"/>
          <w:szCs w:val="21"/>
        </w:rPr>
        <w:t>13.1乙方</w:t>
      </w:r>
      <w:r>
        <w:rPr>
          <w:rFonts w:hint="eastAsia" w:eastAsia="宋体" w:cs="宋体" w:asciiTheme="minorEastAsia" w:hAnsiTheme="minorEastAsia"/>
          <w:color w:val="auto"/>
          <w:szCs w:val="21"/>
        </w:rPr>
        <w:t>将遵循正当、合法、必要的原则，出于本政策所述的以下目的，收集和使用甲方在使用产品与/或服务过程中主动提供或因使用产品与/或服务而产生的个人信息，以及从第三方获取甲方的相关个人信息。如果我们要将甲方的个人信息用于本政策未载明的其它用途，或将基于特定目的收集而来的信息用于其他目的，乙方将以合理的方式向甲方告知，并在使用前再次征得您的同意。</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eastAsia="宋体" w:cs="宋体" w:asciiTheme="minorEastAsia" w:hAnsiTheme="minorEastAsia"/>
          <w:color w:val="auto"/>
          <w:szCs w:val="21"/>
        </w:rPr>
      </w:pPr>
      <w:r>
        <w:rPr>
          <w:rFonts w:hint="eastAsia" w:eastAsia="宋体" w:cs="宋体" w:asciiTheme="minorEastAsia" w:hAnsiTheme="minorEastAsia"/>
          <w:color w:val="auto"/>
          <w:szCs w:val="21"/>
        </w:rPr>
        <w:t>13.2为了验证甲方提供信息的准确性和完整性，甲方将与合法留存甲方信息的国家机关、金融机构、企事业单位进行核对；如在验证核对过程中乙方需要向前述验证机构收集甲方的相关信息，乙方将依照法律法规的规定要求验证机构说明其个人信息来源，并对其个人信息来源的合法性进行确认；</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eastAsia="宋体" w:cs="宋体" w:asciiTheme="minorEastAsia" w:hAnsiTheme="minorEastAsia"/>
          <w:color w:val="auto"/>
          <w:szCs w:val="21"/>
        </w:rPr>
      </w:pPr>
      <w:r>
        <w:rPr>
          <w:rFonts w:eastAsia="宋体" w:cs="宋体" w:asciiTheme="minorEastAsia" w:hAnsiTheme="minorEastAsia"/>
          <w:color w:val="auto"/>
          <w:szCs w:val="21"/>
        </w:rPr>
        <w:t xml:space="preserve">13.3 </w:t>
      </w:r>
      <w:r>
        <w:rPr>
          <w:rFonts w:hint="eastAsia" w:eastAsia="宋体" w:cs="宋体" w:asciiTheme="minorEastAsia" w:hAnsiTheme="minorEastAsia"/>
          <w:color w:val="auto"/>
          <w:szCs w:val="21"/>
        </w:rPr>
        <w:t>甲方在乙方处办理入网时，甲方需按要求向乙方提供商户的基本信息（商户类型、商户名称、所属地区及行业、登录账号（手机号）、联系人、联系人手机号、联系人身份证号）、结算信息（结算收款人姓名、身份证件所载信息、结算卡号、开户行、银行预留手机号）、店铺信息（经营品类、经营地址、绑定机具、店铺联系电话）、资质信息（营业执照、身份证件所载信息或者身份证明文件）等。在发生《支付机构反洗钱和反恐怖融资管理办法》等法律法规及监管规定的特定情形时，甲方还需要配合提供身份证彩色照片或影印件以供调查核对。在进行多重身份验证时，若通过绑定银行卡进行身份实名认证的，甲方还需要提供银行卡信息和银行预留手机号;若通过刷脸进一步确认甲方提供信息的准确性时，甲方还需要提供脸部图像/视频。上述信息甲方同意并授权乙方传输给合作第三方机构或合法持有您上述信息的第三方身份验证的银联等机构，以便对甲方所提供信息的准确性进行核对。如果甲方不提供上述信息或甲方的实名验证未通过，则可能导致甲方无法正常使用乙方相关支付服务，因此导致的不利后果，由甲方自行承担；</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eastAsia="宋体" w:cs="宋体" w:asciiTheme="minorEastAsia" w:hAnsiTheme="minorEastAsia"/>
          <w:color w:val="auto"/>
          <w:szCs w:val="21"/>
        </w:rPr>
      </w:pPr>
      <w:r>
        <w:rPr>
          <w:rFonts w:eastAsia="宋体" w:cs="宋体" w:asciiTheme="minorEastAsia" w:hAnsiTheme="minorEastAsia"/>
          <w:color w:val="auto"/>
          <w:szCs w:val="21"/>
        </w:rPr>
        <w:t>13.</w:t>
      </w:r>
      <w:r>
        <w:rPr>
          <w:rFonts w:hint="eastAsia" w:eastAsia="宋体" w:cs="宋体" w:asciiTheme="minorEastAsia" w:hAnsiTheme="minorEastAsia"/>
          <w:color w:val="auto"/>
          <w:szCs w:val="21"/>
        </w:rPr>
        <w:t>4</w:t>
      </w:r>
      <w:r>
        <w:rPr>
          <w:rFonts w:eastAsia="宋体" w:cs="宋体" w:asciiTheme="minorEastAsia" w:hAnsiTheme="minorEastAsia"/>
          <w:color w:val="auto"/>
          <w:szCs w:val="21"/>
        </w:rPr>
        <w:t xml:space="preserve"> </w:t>
      </w:r>
      <w:r>
        <w:rPr>
          <w:rFonts w:hint="eastAsia" w:eastAsia="宋体" w:cs="宋体" w:asciiTheme="minorEastAsia" w:hAnsiTheme="minorEastAsia"/>
          <w:color w:val="auto"/>
          <w:szCs w:val="21"/>
        </w:rPr>
        <w:t>乙方或乙方合作的银行等金融机构基于本协议项下收集甲方上述信息时，应当遵循合法、合理、相关及必要之原则。</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eastAsia="宋体" w:cs="宋体" w:asciiTheme="minorEastAsia" w:hAnsiTheme="minorEastAsia"/>
          <w:color w:val="auto"/>
          <w:szCs w:val="21"/>
        </w:rPr>
      </w:pPr>
      <w:r>
        <w:rPr>
          <w:rFonts w:eastAsia="宋体" w:cs="宋体" w:asciiTheme="minorEastAsia" w:hAnsiTheme="minorEastAsia"/>
          <w:color w:val="auto"/>
          <w:szCs w:val="21"/>
        </w:rPr>
        <w:t>13.</w:t>
      </w:r>
      <w:r>
        <w:rPr>
          <w:rFonts w:hint="eastAsia" w:eastAsia="宋体" w:cs="宋体" w:asciiTheme="minorEastAsia" w:hAnsiTheme="minorEastAsia"/>
          <w:color w:val="auto"/>
          <w:szCs w:val="21"/>
        </w:rPr>
        <w:t>5</w:t>
      </w:r>
      <w:r>
        <w:rPr>
          <w:rFonts w:eastAsia="宋体" w:cs="宋体" w:asciiTheme="minorEastAsia" w:hAnsiTheme="minorEastAsia"/>
          <w:color w:val="auto"/>
          <w:szCs w:val="21"/>
        </w:rPr>
        <w:t xml:space="preserve"> </w:t>
      </w:r>
      <w:r>
        <w:rPr>
          <w:rFonts w:hint="eastAsia" w:eastAsia="宋体" w:cs="宋体" w:asciiTheme="minorEastAsia" w:hAnsiTheme="minorEastAsia"/>
          <w:color w:val="auto"/>
          <w:szCs w:val="21"/>
        </w:rPr>
        <w:t>乙方及乙方合作的银行等金融机构应在现有技术水平下采取合理必要的措施保护甲方信息，采取物理、技术和行政管理安全措施来降低丢失、误用、非授权访问、披露和更改的风险。由于恶意手段，即使乙方尽力采取上述措施仍造成甲方上述信息泄漏、毁损或灭失的，乙方应当立即采取补救措施并及时通知甲方，但乙方及乙方合作的第三方机构不承担相关责任。如因乙方或乙方合作第三方未采取合理必要的措施导致甲方信息泄露的，乙方应承担相应责任。</w:t>
      </w:r>
    </w:p>
    <w:p>
      <w:pPr>
        <w:pStyle w:val="10"/>
        <w:tabs>
          <w:tab w:val="left" w:pos="567"/>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firstLine="420" w:firstLineChars="200"/>
        <w:rPr>
          <w:rFonts w:eastAsia="宋体" w:cs="宋体" w:asciiTheme="minorEastAsia" w:hAnsiTheme="minorEastAsia"/>
          <w:color w:val="auto"/>
          <w:szCs w:val="21"/>
        </w:rPr>
      </w:pPr>
      <w:r>
        <w:rPr>
          <w:rFonts w:eastAsia="宋体" w:cs="宋体" w:asciiTheme="minorEastAsia" w:hAnsiTheme="minorEastAsia"/>
          <w:color w:val="auto"/>
          <w:szCs w:val="21"/>
        </w:rPr>
        <w:t>13.</w:t>
      </w:r>
      <w:r>
        <w:rPr>
          <w:rFonts w:hint="eastAsia" w:eastAsia="宋体" w:cs="宋体" w:asciiTheme="minorEastAsia" w:hAnsiTheme="minorEastAsia"/>
          <w:color w:val="auto"/>
          <w:szCs w:val="21"/>
        </w:rPr>
        <w:t>6</w:t>
      </w:r>
      <w:r>
        <w:rPr>
          <w:rFonts w:hint="eastAsia" w:eastAsia="宋体" w:cs="宋体" w:asciiTheme="minorEastAsia" w:hAnsiTheme="minorEastAsia"/>
          <w:color w:val="auto"/>
          <w:szCs w:val="21"/>
        </w:rPr>
        <w:t>甲方可通过致电乙方客服（电话：</w:t>
      </w:r>
      <w:r>
        <w:rPr>
          <w:rFonts w:eastAsia="宋体" w:cs="宋体" w:asciiTheme="minorEastAsia" w:hAnsiTheme="minorEastAsia"/>
          <w:color w:val="auto"/>
          <w:szCs w:val="21"/>
        </w:rPr>
        <w:t xml:space="preserve">400-608-6666 </w:t>
      </w:r>
      <w:r>
        <w:rPr>
          <w:rFonts w:hint="eastAsia" w:eastAsia="宋体" w:cs="宋体" w:asciiTheme="minorEastAsia" w:hAnsiTheme="minorEastAsia"/>
          <w:color w:val="auto"/>
          <w:szCs w:val="21"/>
        </w:rPr>
        <w:t>）咨询上述事宜，同时甲方有权以书面方式告知乙方终止该授权，乙方确认收到甲方终止授权的书面告知后，应当及时停止收集甲方信息。如因甲方未提前书面告知乙方终止授权给甲方造成相关不利后果的，乙方不承担任何责任。</w:t>
      </w:r>
    </w:p>
    <w:p>
      <w:pPr>
        <w:tabs>
          <w:tab w:val="left" w:pos="567"/>
        </w:tabs>
        <w:suppressAutoHyphens/>
        <w:spacing w:line="360" w:lineRule="auto"/>
        <w:ind w:firstLine="422" w:firstLineChars="200"/>
        <w:rPr>
          <w:rFonts w:ascii="宋体" w:hAnsi="宋体" w:cs="宋体"/>
          <w:b/>
          <w:bCs/>
          <w:szCs w:val="21"/>
        </w:rPr>
      </w:pPr>
      <w:r>
        <w:rPr>
          <w:rFonts w:hint="eastAsia" w:ascii="宋体" w:hAnsi="宋体" w:cs="宋体"/>
          <w:b/>
          <w:bCs/>
          <w:szCs w:val="21"/>
        </w:rPr>
        <w:t>14</w:t>
      </w:r>
      <w:r>
        <w:rPr>
          <w:rFonts w:hint="eastAsia" w:ascii="宋体" w:hAnsi="宋体" w:cs="宋体"/>
          <w:b/>
          <w:bCs/>
          <w:szCs w:val="21"/>
          <w:lang w:eastAsia="zh-CN"/>
        </w:rPr>
        <w:t>、</w:t>
      </w:r>
      <w:r>
        <w:rPr>
          <w:rFonts w:hint="eastAsia" w:ascii="宋体" w:hAnsi="宋体" w:cs="宋体"/>
          <w:b/>
          <w:bCs/>
          <w:szCs w:val="21"/>
        </w:rPr>
        <w:t>其他</w:t>
      </w:r>
    </w:p>
    <w:p>
      <w:pPr>
        <w:tabs>
          <w:tab w:val="left" w:pos="567"/>
          <w:tab w:val="left" w:pos="993"/>
        </w:tabs>
        <w:suppressAutoHyphens/>
        <w:spacing w:line="360" w:lineRule="auto"/>
        <w:ind w:firstLine="420" w:firstLineChars="200"/>
        <w:rPr>
          <w:rFonts w:cs="宋体" w:asciiTheme="minorEastAsia" w:hAnsiTheme="minorEastAsia"/>
          <w:szCs w:val="21"/>
        </w:rPr>
      </w:pPr>
      <w:r>
        <w:rPr>
          <w:rFonts w:hint="eastAsia" w:cs="宋体" w:asciiTheme="minorEastAsia" w:hAnsiTheme="minorEastAsia"/>
          <w:szCs w:val="21"/>
        </w:rPr>
        <w:t>14.1本协议自双方签字盖章之日起生效，有效期为贰年。有效期届满前一月内，如双方对本协议无任何异议，则自本协议有效期届满自动顺延一年。如任何一方有异议的，应在有效期届满前以书面方式通知对方。</w:t>
      </w:r>
    </w:p>
    <w:p>
      <w:pPr>
        <w:tabs>
          <w:tab w:val="left" w:pos="567"/>
          <w:tab w:val="left" w:pos="993"/>
        </w:tabs>
        <w:suppressAutoHyphens/>
        <w:spacing w:line="360" w:lineRule="auto"/>
        <w:ind w:firstLine="420" w:firstLineChars="200"/>
        <w:rPr>
          <w:rFonts w:cs="宋体" w:asciiTheme="minorEastAsia" w:hAnsiTheme="minorEastAsia"/>
          <w:szCs w:val="21"/>
        </w:rPr>
      </w:pPr>
      <w:r>
        <w:rPr>
          <w:rFonts w:hint="eastAsia" w:cs="宋体" w:asciiTheme="minorEastAsia" w:hAnsiTheme="minorEastAsia"/>
          <w:szCs w:val="21"/>
        </w:rPr>
        <w:t>14.2 在履行本协议过程中发生的任何争议，应首先由甲、乙双方友好协商解决；协商不成的，任何一方均可向乙方所在地人民法院提起诉讼解决。</w:t>
      </w:r>
    </w:p>
    <w:p>
      <w:pPr>
        <w:tabs>
          <w:tab w:val="left" w:pos="567"/>
          <w:tab w:val="left" w:pos="993"/>
        </w:tabs>
        <w:suppressAutoHyphens/>
        <w:spacing w:line="360" w:lineRule="auto"/>
        <w:ind w:firstLine="422" w:firstLineChars="200"/>
        <w:rPr>
          <w:rFonts w:cs="宋体" w:asciiTheme="minorEastAsia" w:hAnsiTheme="minorEastAsia"/>
          <w:b/>
          <w:szCs w:val="21"/>
        </w:rPr>
      </w:pPr>
      <w:r>
        <w:rPr>
          <w:rFonts w:hint="eastAsia" w:cs="宋体" w:asciiTheme="minorEastAsia" w:hAnsiTheme="minorEastAsia"/>
          <w:b/>
          <w:szCs w:val="21"/>
        </w:rPr>
        <w:t>14</w:t>
      </w:r>
      <w:r>
        <w:rPr>
          <w:rFonts w:cs="宋体" w:asciiTheme="minorEastAsia" w:hAnsiTheme="minorEastAsia"/>
          <w:b/>
          <w:szCs w:val="21"/>
        </w:rPr>
        <w:t>.3</w:t>
      </w:r>
      <w:r>
        <w:rPr>
          <w:rFonts w:hint="eastAsia" w:cs="宋体" w:asciiTheme="minorEastAsia" w:hAnsiTheme="minorEastAsia"/>
          <w:b/>
          <w:szCs w:val="21"/>
        </w:rPr>
        <w:t xml:space="preserve"> 本协议由双方当事人在自愿平等基础上协商达成，双方充分了解并清楚双方的权利义务，不存在免除或加重一方责任、排除一方主要权利的条款，也不构成任何一方的格式条款。</w:t>
      </w:r>
    </w:p>
    <w:p>
      <w:pPr>
        <w:tabs>
          <w:tab w:val="left" w:pos="567"/>
          <w:tab w:val="left" w:pos="993"/>
        </w:tabs>
        <w:suppressAutoHyphens/>
        <w:spacing w:line="360" w:lineRule="auto"/>
        <w:ind w:firstLine="420" w:firstLineChars="200"/>
        <w:rPr>
          <w:rFonts w:cs="宋体" w:asciiTheme="minorEastAsia" w:hAnsiTheme="minorEastAsia"/>
          <w:szCs w:val="21"/>
        </w:rPr>
      </w:pPr>
      <w:r>
        <w:rPr>
          <w:rFonts w:cs="宋体" w:asciiTheme="minorEastAsia" w:hAnsiTheme="minorEastAsia"/>
          <w:szCs w:val="21"/>
        </w:rPr>
        <w:t>1</w:t>
      </w:r>
      <w:r>
        <w:rPr>
          <w:rFonts w:hint="eastAsia" w:cs="宋体" w:asciiTheme="minorEastAsia" w:hAnsiTheme="minorEastAsia"/>
          <w:szCs w:val="21"/>
        </w:rPr>
        <w:t>4</w:t>
      </w:r>
      <w:r>
        <w:rPr>
          <w:rFonts w:cs="宋体" w:asciiTheme="minorEastAsia" w:hAnsiTheme="minorEastAsia"/>
          <w:szCs w:val="21"/>
        </w:rPr>
        <w:t>.4</w:t>
      </w:r>
      <w:r>
        <w:rPr>
          <w:rFonts w:hint="eastAsia" w:cs="宋体" w:asciiTheme="minorEastAsia" w:hAnsiTheme="minorEastAsia"/>
          <w:szCs w:val="21"/>
        </w:rPr>
        <w:t>本协议及附件一式贰份，甲、乙双方各执壹份，均具有同等法律效力。</w:t>
      </w:r>
    </w:p>
    <w:p>
      <w:pPr>
        <w:tabs>
          <w:tab w:val="left" w:pos="567"/>
          <w:tab w:val="left" w:pos="993"/>
        </w:tabs>
        <w:suppressAutoHyphens/>
        <w:spacing w:line="360" w:lineRule="auto"/>
        <w:ind w:left="993"/>
        <w:rPr>
          <w:rFonts w:cs="宋体" w:asciiTheme="minorEastAsia" w:hAnsiTheme="minorEastAsia"/>
          <w:szCs w:val="21"/>
        </w:rPr>
      </w:pPr>
    </w:p>
    <w:p>
      <w:pPr>
        <w:tabs>
          <w:tab w:val="left" w:pos="567"/>
          <w:tab w:val="left" w:pos="993"/>
        </w:tabs>
        <w:suppressAutoHyphens/>
        <w:spacing w:line="360" w:lineRule="auto"/>
        <w:ind w:firstLine="422" w:firstLineChars="200"/>
        <w:rPr>
          <w:rFonts w:ascii="宋体" w:hAnsi="宋体" w:cs="宋体"/>
          <w:b/>
          <w:bCs/>
          <w:szCs w:val="21"/>
        </w:rPr>
      </w:pPr>
      <w:r>
        <w:rPr>
          <w:rFonts w:hint="eastAsia" w:ascii="宋体" w:hAnsi="宋体" w:cs="宋体"/>
          <w:b/>
          <w:bCs/>
          <w:szCs w:val="21"/>
        </w:rPr>
        <w:t>甲方特别声明：</w:t>
      </w:r>
    </w:p>
    <w:p>
      <w:pPr>
        <w:tabs>
          <w:tab w:val="left" w:pos="567"/>
          <w:tab w:val="left" w:pos="993"/>
        </w:tabs>
        <w:suppressAutoHyphens/>
        <w:spacing w:line="360" w:lineRule="auto"/>
        <w:ind w:firstLine="422" w:firstLineChars="200"/>
        <w:rPr>
          <w:rFonts w:ascii="宋体" w:hAnsi="宋体" w:cs="宋体"/>
          <w:b/>
          <w:bCs/>
          <w:szCs w:val="21"/>
        </w:rPr>
      </w:pPr>
      <w:r>
        <w:rPr>
          <w:rFonts w:hint="eastAsia" w:ascii="宋体" w:hAnsi="宋体" w:cs="宋体"/>
          <w:b/>
          <w:bCs/>
          <w:szCs w:val="21"/>
        </w:rPr>
        <w:t>乙方已提醒我方注意对本协议及附件项下全部条款及内容，并应我方要求做了相应条款的解释与说明。签约双方对本协议及附件全部条款的含义认识一致，认同并接受本协议及附件全部条款。</w:t>
      </w:r>
      <w:r>
        <w:rPr>
          <w:rFonts w:ascii="宋体" w:hAnsi="宋体" w:cs="宋体"/>
          <w:b/>
          <w:bCs/>
          <w:szCs w:val="21"/>
        </w:rPr>
        <w:t>甲乙双方对本协议确认无误</w:t>
      </w:r>
      <w:r>
        <w:rPr>
          <w:rFonts w:hint="eastAsia" w:ascii="宋体" w:hAnsi="宋体" w:cs="宋体"/>
          <w:b/>
          <w:bCs/>
          <w:szCs w:val="21"/>
        </w:rPr>
        <w:t>，</w:t>
      </w:r>
      <w:r>
        <w:rPr>
          <w:rFonts w:ascii="宋体" w:hAnsi="宋体" w:cs="宋体"/>
          <w:b/>
          <w:bCs/>
          <w:szCs w:val="21"/>
        </w:rPr>
        <w:t>并签字盖章后</w:t>
      </w:r>
      <w:r>
        <w:rPr>
          <w:rFonts w:hint="eastAsia" w:ascii="宋体" w:hAnsi="宋体" w:cs="宋体"/>
          <w:b/>
          <w:bCs/>
          <w:szCs w:val="21"/>
        </w:rPr>
        <w:t>，</w:t>
      </w:r>
      <w:r>
        <w:rPr>
          <w:rFonts w:ascii="宋体" w:hAnsi="宋体" w:cs="宋体"/>
          <w:b/>
          <w:bCs/>
          <w:szCs w:val="21"/>
        </w:rPr>
        <w:t>本协议于双方签署之日起正式生效</w:t>
      </w:r>
      <w:r>
        <w:rPr>
          <w:rFonts w:hint="eastAsia" w:ascii="宋体" w:hAnsi="宋体" w:cs="宋体"/>
          <w:b/>
          <w:bCs/>
          <w:szCs w:val="21"/>
        </w:rPr>
        <w:t>。</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527" w:firstLineChars="250"/>
        <w:jc w:val="left"/>
        <w:rPr>
          <w:rFonts w:ascii="宋体" w:hAnsi="宋体" w:eastAsia="宋体" w:cs="宋体"/>
          <w:b/>
          <w:bCs/>
        </w:rPr>
      </w:pPr>
      <w:r>
        <w:rPr>
          <w:rFonts w:hint="eastAsia" w:ascii="宋体" w:hAnsi="宋体" w:eastAsia="宋体" w:cs="宋体"/>
          <w:b/>
          <w:bCs/>
        </w:rPr>
        <w:t xml:space="preserve"> </w:t>
      </w:r>
    </w:p>
    <w:p>
      <w:pPr>
        <w:pStyle w:val="10"/>
        <w:tabs>
          <w:tab w:val="left" w:pos="180"/>
        </w:tabs>
        <w:spacing w:line="360" w:lineRule="auto"/>
        <w:rPr>
          <w:rFonts w:ascii="宋体" w:hAnsi="宋体" w:eastAsia="宋体" w:cs="宋体"/>
          <w:szCs w:val="21"/>
        </w:rPr>
      </w:pPr>
      <w:r>
        <w:rPr>
          <w:rFonts w:hint="eastAsia" w:ascii="宋体" w:hAnsi="宋体" w:eastAsia="宋体" w:cs="宋体"/>
          <w:b/>
          <w:bCs/>
        </w:rPr>
        <w:t xml:space="preserve"> </w:t>
      </w:r>
      <w:r>
        <w:rPr>
          <w:rFonts w:hint="eastAsia" w:ascii="宋体" w:hAnsi="宋体" w:eastAsia="宋体" w:cs="宋体"/>
          <w:szCs w:val="21"/>
        </w:rPr>
        <w:t>（以下无正文，为签署页）</w:t>
      </w:r>
    </w:p>
    <w:p>
      <w:pPr>
        <w:pStyle w:val="10"/>
        <w:tabs>
          <w:tab w:val="left" w:pos="180"/>
        </w:tabs>
        <w:spacing w:line="360" w:lineRule="auto"/>
        <w:rPr>
          <w:rFonts w:ascii="宋体" w:hAnsi="宋体" w:eastAsia="宋体" w:cs="宋体"/>
          <w:szCs w:val="21"/>
        </w:rPr>
      </w:pPr>
    </w:p>
    <w:p>
      <w:pPr>
        <w:pStyle w:val="10"/>
        <w:tabs>
          <w:tab w:val="left" w:pos="180"/>
        </w:tabs>
        <w:spacing w:line="360" w:lineRule="auto"/>
        <w:rPr>
          <w:rFonts w:ascii="宋体" w:hAnsi="宋体" w:eastAsia="宋体" w:cs="宋体"/>
          <w:szCs w:val="21"/>
        </w:rPr>
      </w:pPr>
    </w:p>
    <w:p>
      <w:pPr>
        <w:pStyle w:val="10"/>
        <w:tabs>
          <w:tab w:val="left" w:pos="180"/>
        </w:tabs>
        <w:spacing w:line="360" w:lineRule="auto"/>
        <w:rPr>
          <w:rFonts w:ascii="宋体" w:hAnsi="宋体" w:eastAsia="宋体" w:cs="宋体"/>
          <w:szCs w:val="21"/>
        </w:rPr>
      </w:pPr>
    </w:p>
    <w:p>
      <w:pPr>
        <w:pStyle w:val="10"/>
        <w:tabs>
          <w:tab w:val="left" w:pos="180"/>
        </w:tabs>
        <w:spacing w:line="360" w:lineRule="auto"/>
        <w:rPr>
          <w:rFonts w:ascii="宋体" w:hAnsi="宋体" w:eastAsia="宋体" w:cs="宋体"/>
          <w:szCs w:val="21"/>
        </w:rPr>
      </w:pPr>
    </w:p>
    <w:p>
      <w:pPr>
        <w:pStyle w:val="10"/>
        <w:tabs>
          <w:tab w:val="left" w:pos="180"/>
        </w:tabs>
        <w:spacing w:line="480" w:lineRule="auto"/>
        <w:ind w:firstLine="315"/>
        <w:jc w:val="left"/>
        <w:rPr>
          <w:rFonts w:hint="eastAsia" w:ascii="宋体" w:hAnsi="宋体" w:eastAsia="宋体" w:cs="宋体"/>
          <w:szCs w:val="21"/>
          <w:lang w:val="zh-TW" w:eastAsia="zh-TW"/>
        </w:rPr>
      </w:pPr>
      <w:r>
        <w:rPr>
          <w:rFonts w:hint="eastAsia" w:ascii="宋体" w:hAnsi="宋体" w:eastAsia="宋体" w:cs="宋体"/>
          <w:szCs w:val="21"/>
          <w:lang w:val="zh-TW" w:eastAsia="zh-TW"/>
        </w:rPr>
        <w:t xml:space="preserve">甲方（签章）：                                    </w:t>
      </w:r>
      <w:r>
        <w:rPr>
          <w:rFonts w:hint="eastAsia" w:ascii="宋体" w:hAnsi="宋体" w:eastAsia="宋体" w:cs="宋体"/>
          <w:szCs w:val="21"/>
          <w:lang w:val="en-US" w:eastAsia="zh-CN"/>
        </w:rPr>
        <w:t xml:space="preserve"> </w:t>
      </w:r>
      <w:r>
        <w:rPr>
          <w:rFonts w:hint="eastAsia" w:ascii="宋体" w:hAnsi="宋体" w:eastAsia="宋体" w:cs="宋体"/>
          <w:szCs w:val="21"/>
          <w:lang w:val="zh-TW" w:eastAsia="zh-TW"/>
        </w:rPr>
        <w:t>乙方（签章）：广州</w:t>
      </w:r>
      <w:r>
        <w:rPr>
          <w:rFonts w:hint="eastAsia" w:ascii="宋体" w:hAnsi="宋体" w:eastAsia="宋体" w:cs="宋体"/>
          <w:szCs w:val="21"/>
          <w:lang w:val="zh-TW" w:eastAsia="zh-TW"/>
        </w:rPr>
        <w:t>合利宝支付科技</w:t>
      </w:r>
      <w:r>
        <w:rPr>
          <w:rFonts w:hint="eastAsia" w:ascii="宋体" w:hAnsi="宋体" w:eastAsia="宋体" w:cs="宋体"/>
          <w:szCs w:val="21"/>
          <w:lang w:val="zh-TW" w:eastAsia="zh-TW"/>
        </w:rPr>
        <w:t>有限公司</w:t>
      </w:r>
    </w:p>
    <w:p>
      <w:pPr>
        <w:pStyle w:val="10"/>
        <w:tabs>
          <w:tab w:val="left" w:pos="180"/>
        </w:tabs>
        <w:spacing w:line="480" w:lineRule="auto"/>
        <w:ind w:firstLine="315"/>
        <w:jc w:val="left"/>
        <w:rPr>
          <w:rFonts w:hint="eastAsia" w:ascii="宋体" w:hAnsi="宋体" w:eastAsia="宋体" w:cs="宋体"/>
          <w:szCs w:val="21"/>
          <w:lang w:val="zh-TW" w:eastAsia="zh-TW"/>
        </w:rPr>
      </w:pPr>
      <w:r>
        <w:rPr>
          <w:rFonts w:hint="eastAsia" w:ascii="宋体" w:hAnsi="宋体" w:eastAsia="宋体" w:cs="宋体"/>
          <w:szCs w:val="21"/>
          <w:lang w:val="zh-TW" w:eastAsia="zh-TW"/>
        </w:rPr>
        <w:t xml:space="preserve">法定代表人                                      </w:t>
      </w:r>
      <w:r>
        <w:rPr>
          <w:rFonts w:hint="eastAsia" w:ascii="宋体" w:hAnsi="宋体" w:eastAsia="宋体" w:cs="宋体"/>
          <w:szCs w:val="21"/>
          <w:lang w:val="en-US" w:eastAsia="zh-CN"/>
        </w:rPr>
        <w:t xml:space="preserve"> </w:t>
      </w:r>
      <w:r>
        <w:rPr>
          <w:rFonts w:hint="eastAsia" w:ascii="宋体" w:hAnsi="宋体" w:eastAsia="宋体" w:cs="宋体"/>
          <w:szCs w:val="21"/>
          <w:lang w:val="zh-TW" w:eastAsia="zh-TW"/>
        </w:rPr>
        <w:t xml:space="preserve"> 法定代表人</w:t>
      </w:r>
    </w:p>
    <w:p>
      <w:pPr>
        <w:pStyle w:val="10"/>
        <w:tabs>
          <w:tab w:val="left" w:pos="180"/>
        </w:tabs>
        <w:spacing w:line="480" w:lineRule="auto"/>
        <w:ind w:firstLine="315"/>
        <w:jc w:val="left"/>
        <w:rPr>
          <w:rFonts w:hint="eastAsia" w:ascii="宋体" w:hAnsi="宋体" w:eastAsia="宋体" w:cs="宋体"/>
          <w:szCs w:val="21"/>
          <w:lang w:val="zh-TW" w:eastAsia="zh-TW"/>
        </w:rPr>
      </w:pPr>
      <w:r>
        <w:rPr>
          <w:rFonts w:hint="eastAsia" w:ascii="宋体" w:hAnsi="宋体" w:eastAsia="宋体" w:cs="宋体"/>
          <w:szCs w:val="21"/>
          <w:lang w:val="zh-TW" w:eastAsia="zh-TW"/>
        </w:rPr>
        <w:t xml:space="preserve">或授权代表（签字）：                              </w:t>
      </w:r>
      <w:r>
        <w:rPr>
          <w:rFonts w:hint="eastAsia" w:ascii="宋体" w:hAnsi="宋体" w:eastAsia="宋体" w:cs="宋体"/>
          <w:szCs w:val="21"/>
          <w:lang w:val="en-US" w:eastAsia="zh-CN"/>
        </w:rPr>
        <w:t xml:space="preserve"> </w:t>
      </w:r>
      <w:bookmarkStart w:id="2" w:name="_GoBack"/>
      <w:bookmarkEnd w:id="2"/>
      <w:r>
        <w:rPr>
          <w:rFonts w:hint="eastAsia" w:ascii="宋体" w:hAnsi="宋体" w:eastAsia="宋体" w:cs="宋体"/>
          <w:szCs w:val="21"/>
          <w:lang w:val="zh-TW" w:eastAsia="zh-TW"/>
        </w:rPr>
        <w:t xml:space="preserve">或授权代表（签字）： </w:t>
      </w:r>
    </w:p>
    <w:p>
      <w:pPr>
        <w:pStyle w:val="10"/>
        <w:tabs>
          <w:tab w:val="left" w:pos="180"/>
        </w:tabs>
        <w:spacing w:line="480" w:lineRule="auto"/>
        <w:ind w:firstLine="315"/>
        <w:jc w:val="left"/>
        <w:rPr>
          <w:rFonts w:hint="eastAsia" w:ascii="宋体" w:hAnsi="宋体" w:eastAsia="宋体" w:cs="宋体"/>
          <w:szCs w:val="21"/>
          <w:lang w:val="zh-TW" w:eastAsia="zh-TW"/>
        </w:rPr>
      </w:pPr>
    </w:p>
    <w:p>
      <w:pPr>
        <w:pStyle w:val="10"/>
        <w:tabs>
          <w:tab w:val="left" w:pos="180"/>
        </w:tabs>
        <w:spacing w:line="480" w:lineRule="auto"/>
        <w:ind w:firstLine="315"/>
        <w:jc w:val="left"/>
        <w:rPr>
          <w:rFonts w:hint="eastAsia" w:ascii="宋体" w:hAnsi="宋体" w:eastAsia="宋体" w:cs="宋体"/>
          <w:szCs w:val="21"/>
          <w:lang w:val="zh-TW" w:eastAsia="zh-TW"/>
        </w:rPr>
      </w:pPr>
      <w:r>
        <w:rPr>
          <w:rFonts w:hint="eastAsia" w:ascii="宋体" w:hAnsi="宋体" w:eastAsia="宋体" w:cs="宋体"/>
          <w:szCs w:val="21"/>
          <w:lang w:val="zh-TW" w:eastAsia="zh-TW"/>
        </w:rPr>
        <w:t xml:space="preserve">                      </w:t>
      </w:r>
      <w:r>
        <w:rPr>
          <w:rFonts w:hint="eastAsia" w:ascii="宋体" w:hAnsi="宋体" w:eastAsia="宋体" w:cs="宋体"/>
          <w:szCs w:val="21"/>
          <w:lang w:val="zh-TW" w:eastAsia="zh-TW"/>
        </w:rPr>
        <w:t>签订日期：        年    月   日</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270" w:firstLineChars="150"/>
        <w:jc w:val="left"/>
        <w:rPr>
          <w:rFonts w:ascii="宋体" w:hAnsi="宋体" w:cs="宋体"/>
          <w:sz w:val="18"/>
          <w:szCs w:val="18"/>
        </w:rPr>
      </w:pPr>
    </w:p>
    <w:p>
      <w:pPr>
        <w:spacing w:line="360" w:lineRule="auto"/>
      </w:pPr>
    </w:p>
    <w:sectPr>
      <w:footerReference r:id="rId5" w:type="first"/>
      <w:footerReference r:id="rId3" w:type="default"/>
      <w:footerReference r:id="rId4" w:type="even"/>
      <w:pgSz w:w="11906" w:h="16838"/>
      <w:pgMar w:top="1440" w:right="907" w:bottom="1440" w:left="90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itka Banner">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ascii="宋体" w:hAnsi="宋体" w:cs="Arial"/>
        <w:color w:val="303F5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FBE"/>
    <w:rsid w:val="00171CA6"/>
    <w:rsid w:val="001B45E0"/>
    <w:rsid w:val="002C43D8"/>
    <w:rsid w:val="004B0E9B"/>
    <w:rsid w:val="004D4A4D"/>
    <w:rsid w:val="007012E8"/>
    <w:rsid w:val="008E0263"/>
    <w:rsid w:val="00A50173"/>
    <w:rsid w:val="00DF5FBE"/>
    <w:rsid w:val="00F674BD"/>
    <w:rsid w:val="06466042"/>
    <w:rsid w:val="135D699C"/>
    <w:rsid w:val="19BF76EB"/>
    <w:rsid w:val="21D60DD8"/>
    <w:rsid w:val="2496290D"/>
    <w:rsid w:val="3C957F32"/>
    <w:rsid w:val="4D0B2D44"/>
    <w:rsid w:val="503B1F0D"/>
    <w:rsid w:val="519A0DF5"/>
    <w:rsid w:val="600871C3"/>
    <w:rsid w:val="62976EF5"/>
    <w:rsid w:val="6374344C"/>
    <w:rsid w:val="69AB7679"/>
    <w:rsid w:val="6E1F5A5B"/>
    <w:rsid w:val="76DA431E"/>
    <w:rsid w:val="7D127443"/>
    <w:rsid w:val="7EEF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customStyle="1" w:styleId="9">
    <w:name w:val="页脚 Char"/>
    <w:basedOn w:val="7"/>
    <w:link w:val="3"/>
    <w:qFormat/>
    <w:uiPriority w:val="99"/>
    <w:rPr>
      <w:rFonts w:ascii="Times New Roman" w:hAnsi="Times New Roman" w:eastAsia="宋体" w:cs="Times New Roman"/>
      <w:sz w:val="18"/>
      <w:szCs w:val="18"/>
    </w:rPr>
  </w:style>
  <w:style w:type="paragraph" w:customStyle="1" w:styleId="10">
    <w:name w:val="正文 A"/>
    <w:qFormat/>
    <w:uiPriority w:val="0"/>
    <w:pPr>
      <w:widowControl w:val="0"/>
      <w:jc w:val="both"/>
    </w:pPr>
    <w:rPr>
      <w:rFonts w:ascii="Times New Roman" w:hAnsi="Times New Roman" w:eastAsia="ヒラギノ角ゴ Pro W3" w:cs="Times New Roman"/>
      <w:color w:val="000000"/>
      <w:kern w:val="2"/>
      <w:sz w:val="21"/>
      <w:szCs w:val="20"/>
      <w:lang w:val="en-US" w:eastAsia="zh-CN" w:bidi="ar-SA"/>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style>
  <w:style w:type="character" w:customStyle="1" w:styleId="13">
    <w:name w:val="页眉 Char"/>
    <w:basedOn w:val="7"/>
    <w:link w:val="4"/>
    <w:uiPriority w:val="99"/>
    <w:rPr>
      <w:rFonts w:ascii="Times New Roman" w:hAnsi="Times New Roman" w:eastAsia="宋体" w:cs="Times New Roman"/>
      <w:sz w:val="18"/>
      <w:szCs w:val="18"/>
    </w:rPr>
  </w:style>
  <w:style w:type="character" w:customStyle="1" w:styleId="14">
    <w:name w:val="批注框文本 Char"/>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1923</Words>
  <Characters>10964</Characters>
  <Lines>91</Lines>
  <Paragraphs>25</Paragraphs>
  <TotalTime>26</TotalTime>
  <ScaleCrop>false</ScaleCrop>
  <LinksUpToDate>false</LinksUpToDate>
  <CharactersWithSpaces>12862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2021-12-16T08:28:00Z</dcterms:created>
  <dc:creator>thinkpad</dc:creator>
  <cp:lastModifiedBy>Camille</cp:lastModifiedBy>
  <dcterms:modified xsi:type="dcterms:W3CDTF">2021-12-24T08:49:54Z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7248AD3B56A24617855D717ECF1E64DC</vt:lpwstr>
  </property>
</Properties>
</file>